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A9B3" w14:textId="77777777" w:rsidR="00F420C7" w:rsidRPr="00DE2F08" w:rsidRDefault="00F420C7" w:rsidP="008C3C24">
      <w:pPr>
        <w:pStyle w:val="Standard"/>
        <w:jc w:val="both"/>
        <w:rPr>
          <w:rFonts w:asciiTheme="majorHAnsi" w:eastAsia="Arial Unicode MS" w:hAnsiTheme="majorHAnsi" w:cstheme="majorHAnsi"/>
          <w:sz w:val="20"/>
          <w:szCs w:val="20"/>
        </w:rPr>
      </w:pPr>
    </w:p>
    <w:p w14:paraId="14C0FA91" w14:textId="77777777" w:rsidR="00F420C7" w:rsidRPr="00DE2F08" w:rsidRDefault="00F420C7" w:rsidP="008C3C24">
      <w:pPr>
        <w:pStyle w:val="Standard"/>
        <w:jc w:val="center"/>
        <w:rPr>
          <w:rFonts w:asciiTheme="majorHAnsi" w:eastAsia="Arial Unicode MS" w:hAnsiTheme="majorHAnsi" w:cstheme="majorHAnsi"/>
          <w:b/>
          <w:sz w:val="28"/>
          <w:szCs w:val="28"/>
          <w:u w:val="single"/>
        </w:rPr>
      </w:pPr>
      <w:r w:rsidRPr="00DE2F08">
        <w:rPr>
          <w:rFonts w:asciiTheme="majorHAnsi" w:eastAsia="Arial Unicode MS" w:hAnsiTheme="majorHAnsi" w:cstheme="majorHAnsi"/>
          <w:b/>
          <w:noProof/>
          <w:sz w:val="28"/>
          <w:szCs w:val="28"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602235F" wp14:editId="3B13B646">
                <wp:simplePos x="0" y="0"/>
                <wp:positionH relativeFrom="column">
                  <wp:posOffset>-2453625</wp:posOffset>
                </wp:positionH>
                <wp:positionV relativeFrom="paragraph">
                  <wp:posOffset>260760</wp:posOffset>
                </wp:positionV>
                <wp:extent cx="360" cy="360"/>
                <wp:effectExtent l="38100" t="38100" r="38100" b="38100"/>
                <wp:wrapNone/>
                <wp:docPr id="3844550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5272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-193.7pt;margin-top:20.0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AC20V8vAEAAF8EAAAQAAAAAAAAAAAAAAAAANMDAABkcnMvaW5rL2luazEu&#10;eG1sUEsBAi0AFAAGAAgAAAAhAIsJ6ujeAAAACwEAAA8AAAAAAAAAAAAAAAAAvQ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 w:rsidRPr="00DE2F08">
        <w:rPr>
          <w:rFonts w:asciiTheme="majorHAnsi" w:eastAsia="Arial Unicode MS" w:hAnsiTheme="majorHAnsi" w:cstheme="majorHAnsi"/>
          <w:b/>
          <w:sz w:val="28"/>
          <w:szCs w:val="28"/>
          <w:u w:val="single"/>
        </w:rPr>
        <w:t>O G Ł O S Z E N I E</w:t>
      </w:r>
    </w:p>
    <w:p w14:paraId="4A594B8A" w14:textId="77777777" w:rsidR="00F420C7" w:rsidRPr="00DE2F08" w:rsidRDefault="00F420C7" w:rsidP="008C3C24">
      <w:pPr>
        <w:pStyle w:val="Standard"/>
        <w:jc w:val="center"/>
        <w:rPr>
          <w:rFonts w:asciiTheme="majorHAnsi" w:eastAsia="Arial Unicode MS" w:hAnsiTheme="majorHAnsi" w:cstheme="majorHAnsi"/>
          <w:sz w:val="20"/>
          <w:szCs w:val="20"/>
        </w:rPr>
      </w:pPr>
    </w:p>
    <w:p w14:paraId="5EB3D62E" w14:textId="44CFDA6B" w:rsidR="00F420C7" w:rsidRPr="00DE2F08" w:rsidRDefault="00F420C7" w:rsidP="008C3C24">
      <w:pPr>
        <w:pStyle w:val="Standard"/>
        <w:jc w:val="center"/>
        <w:rPr>
          <w:rFonts w:asciiTheme="majorHAnsi" w:eastAsia="Arial Unicode MS" w:hAnsiTheme="majorHAnsi" w:cstheme="majorHAnsi"/>
          <w:b/>
        </w:rPr>
      </w:pPr>
      <w:r w:rsidRPr="00DE2F08">
        <w:rPr>
          <w:rFonts w:asciiTheme="majorHAnsi" w:eastAsia="Arial Unicode MS" w:hAnsiTheme="majorHAnsi" w:cstheme="majorHAnsi"/>
          <w:b/>
        </w:rPr>
        <w:t>Dyrektor Domu Pomocy Społecznej „OPOKA” w Gliwicach</w:t>
      </w:r>
    </w:p>
    <w:p w14:paraId="342C95E0" w14:textId="77777777" w:rsidR="00F420C7" w:rsidRPr="00DE2F08" w:rsidRDefault="00F420C7" w:rsidP="008C3C24">
      <w:pPr>
        <w:pStyle w:val="Standard"/>
        <w:jc w:val="center"/>
        <w:rPr>
          <w:rFonts w:asciiTheme="majorHAnsi" w:eastAsia="Arial Unicode MS" w:hAnsiTheme="majorHAnsi" w:cstheme="majorHAnsi"/>
          <w:b/>
        </w:rPr>
      </w:pPr>
      <w:r w:rsidRPr="00DE2F08">
        <w:rPr>
          <w:rFonts w:asciiTheme="majorHAnsi" w:eastAsia="Arial Unicode MS" w:hAnsiTheme="majorHAnsi" w:cstheme="majorHAnsi"/>
          <w:b/>
        </w:rPr>
        <w:t>44-100 Gliwice, ul. Pszczyńska 100</w:t>
      </w:r>
    </w:p>
    <w:p w14:paraId="2D7E932F" w14:textId="77777777" w:rsidR="00F420C7" w:rsidRPr="00DE2F08" w:rsidRDefault="00F420C7" w:rsidP="008C3C24">
      <w:pPr>
        <w:pStyle w:val="Standard"/>
        <w:jc w:val="center"/>
        <w:rPr>
          <w:rFonts w:asciiTheme="majorHAnsi" w:eastAsia="Arial Unicode MS" w:hAnsiTheme="majorHAnsi" w:cstheme="majorHAnsi"/>
        </w:rPr>
      </w:pPr>
      <w:r w:rsidRPr="00DE2F08">
        <w:rPr>
          <w:rFonts w:asciiTheme="majorHAnsi" w:eastAsia="Arial Unicode MS" w:hAnsiTheme="majorHAnsi" w:cstheme="majorHAnsi"/>
        </w:rPr>
        <w:t>zawiadamia, iż w zapytaniu ofertowym pod nazwą</w:t>
      </w:r>
    </w:p>
    <w:p w14:paraId="4ABCD6F0" w14:textId="74FB23B1" w:rsidR="00DE2F08" w:rsidRDefault="00F420C7" w:rsidP="008C3C24">
      <w:pPr>
        <w:pStyle w:val="Standard"/>
        <w:jc w:val="center"/>
        <w:rPr>
          <w:rFonts w:asciiTheme="majorHAnsi" w:hAnsiTheme="majorHAnsi" w:cstheme="majorHAnsi"/>
          <w:b/>
          <w:bCs/>
        </w:rPr>
      </w:pPr>
      <w:bookmarkStart w:id="0" w:name="_Hlk195525283"/>
      <w:r w:rsidRPr="00DE2F08">
        <w:rPr>
          <w:rFonts w:asciiTheme="majorHAnsi" w:hAnsiTheme="majorHAnsi" w:cstheme="majorHAnsi"/>
          <w:b/>
          <w:bCs/>
        </w:rPr>
        <w:t>Prace remontowe polegające na:</w:t>
      </w:r>
      <w:bookmarkEnd w:id="0"/>
    </w:p>
    <w:p w14:paraId="32B1FC88" w14:textId="3AEA549D" w:rsidR="00DE2E37" w:rsidRPr="00DE2F08" w:rsidRDefault="00DE2E37" w:rsidP="008C3C24">
      <w:pPr>
        <w:pStyle w:val="Standard"/>
        <w:jc w:val="center"/>
        <w:rPr>
          <w:rFonts w:asciiTheme="majorHAnsi" w:hAnsiTheme="majorHAnsi" w:cstheme="majorHAnsi"/>
          <w:b/>
          <w:bCs/>
        </w:rPr>
      </w:pPr>
      <w:r w:rsidRPr="00DE2F08">
        <w:rPr>
          <w:rFonts w:asciiTheme="majorHAnsi" w:hAnsiTheme="majorHAnsi" w:cstheme="majorHAnsi"/>
          <w:b/>
          <w:bCs/>
          <w:u w:val="single"/>
        </w:rPr>
        <w:t>Malowaniu pokoi oraz pomieszczeń socjalnych w Domu Pomocy Społecznej „OPOKA”</w:t>
      </w:r>
    </w:p>
    <w:p w14:paraId="6BE13F9F" w14:textId="7131CD16" w:rsidR="00F420C7" w:rsidRPr="00DE2F08" w:rsidRDefault="00F420C7" w:rsidP="008C3C24">
      <w:pPr>
        <w:pStyle w:val="Standard"/>
        <w:jc w:val="both"/>
        <w:rPr>
          <w:rFonts w:asciiTheme="majorHAnsi" w:hAnsiTheme="majorHAnsi" w:cstheme="majorHAnsi"/>
          <w:b/>
          <w:bCs/>
        </w:rPr>
      </w:pPr>
    </w:p>
    <w:p w14:paraId="3B52B6E4" w14:textId="77777777" w:rsidR="00F420C7" w:rsidRPr="00DE2F08" w:rsidRDefault="00F420C7" w:rsidP="008C3C24">
      <w:pPr>
        <w:pStyle w:val="Standard"/>
        <w:jc w:val="both"/>
        <w:rPr>
          <w:rFonts w:asciiTheme="majorHAnsi" w:eastAsia="Arial Unicode MS" w:hAnsiTheme="majorHAnsi" w:cstheme="majorHAnsi"/>
          <w:sz w:val="20"/>
          <w:szCs w:val="20"/>
        </w:rPr>
      </w:pPr>
    </w:p>
    <w:p w14:paraId="14EEBA99" w14:textId="08EB4B2C" w:rsidR="00DE2E37" w:rsidRPr="00DE2F08" w:rsidRDefault="00F420C7" w:rsidP="008C3C24">
      <w:pPr>
        <w:pStyle w:val="Standard"/>
        <w:jc w:val="both"/>
        <w:rPr>
          <w:rFonts w:asciiTheme="majorHAnsi" w:eastAsia="Arial Unicode MS" w:hAnsiTheme="majorHAnsi" w:cstheme="majorHAnsi"/>
          <w:b/>
          <w:bCs/>
        </w:rPr>
      </w:pPr>
      <w:r w:rsidRPr="00DE2F08">
        <w:rPr>
          <w:rFonts w:asciiTheme="majorHAnsi" w:eastAsia="Arial Unicode MS" w:hAnsiTheme="majorHAnsi" w:cstheme="majorHAnsi"/>
          <w:b/>
          <w:u w:val="single"/>
        </w:rPr>
        <w:t>Wybrano ofertę Firmy:</w:t>
      </w:r>
      <w:r w:rsidR="00DE2E37" w:rsidRPr="00DE2F08">
        <w:rPr>
          <w:rFonts w:asciiTheme="majorHAnsi" w:eastAsia="Arial Unicode MS" w:hAnsiTheme="majorHAnsi" w:cstheme="majorHAnsi"/>
          <w:b/>
          <w:u w:val="single"/>
        </w:rPr>
        <w:t xml:space="preserve"> </w:t>
      </w:r>
      <w:r w:rsidR="00DE2E37" w:rsidRPr="00DE2F08">
        <w:rPr>
          <w:rFonts w:asciiTheme="majorHAnsi" w:eastAsia="Arial Unicode MS" w:hAnsiTheme="majorHAnsi" w:cstheme="majorHAnsi"/>
          <w:b/>
          <w:bCs/>
        </w:rPr>
        <w:t xml:space="preserve"> Przedsiębiorstwo Budowlano – Usługowe A-M</w:t>
      </w:r>
    </w:p>
    <w:p w14:paraId="6F3F13AE" w14:textId="34584741" w:rsidR="00F420C7" w:rsidRPr="00DE2F08" w:rsidRDefault="00DE2E37" w:rsidP="008C3C24">
      <w:pPr>
        <w:pStyle w:val="Standard"/>
        <w:jc w:val="both"/>
        <w:rPr>
          <w:rFonts w:asciiTheme="majorHAnsi" w:eastAsia="Arial Unicode MS" w:hAnsiTheme="majorHAnsi" w:cstheme="majorHAnsi"/>
          <w:b/>
          <w:sz w:val="20"/>
          <w:szCs w:val="20"/>
          <w:u w:val="single"/>
        </w:rPr>
      </w:pPr>
      <w:r w:rsidRPr="00DE2F08">
        <w:rPr>
          <w:rFonts w:asciiTheme="majorHAnsi" w:eastAsia="Arial Unicode MS" w:hAnsiTheme="majorHAnsi" w:cstheme="majorHAnsi"/>
          <w:sz w:val="20"/>
          <w:szCs w:val="20"/>
        </w:rPr>
        <w:t>41-500 Chorzów, ul. Składowa 17 lok. Nr 2</w:t>
      </w:r>
    </w:p>
    <w:p w14:paraId="3B96FB49" w14:textId="6875E0FE" w:rsidR="00F420C7" w:rsidRPr="00DE2F08" w:rsidRDefault="00F420C7" w:rsidP="008C3C24">
      <w:pPr>
        <w:pStyle w:val="TableContents"/>
        <w:jc w:val="both"/>
        <w:rPr>
          <w:rFonts w:asciiTheme="majorHAnsi" w:eastAsia="MS Mincho" w:hAnsiTheme="majorHAnsi" w:cstheme="majorHAnsi"/>
          <w:sz w:val="20"/>
          <w:szCs w:val="20"/>
        </w:rPr>
      </w:pPr>
      <w:r w:rsidRPr="00DE2F08">
        <w:rPr>
          <w:rFonts w:asciiTheme="majorHAnsi" w:eastAsia="Arial Unicode MS" w:hAnsiTheme="majorHAnsi" w:cstheme="majorHAnsi"/>
          <w:sz w:val="20"/>
          <w:szCs w:val="20"/>
        </w:rPr>
        <w:t>Wybrana oferta uzyskała największą liczbę punktów - 100 pkt , jest zgodna z treścią ogłoszenia i zapytaniem ofertowym.</w:t>
      </w:r>
      <w:r w:rsidR="00DE2E37" w:rsidRPr="00DE2F08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Pr="00DE2F08">
        <w:rPr>
          <w:rFonts w:asciiTheme="majorHAnsi" w:eastAsia="MS Mincho" w:hAnsiTheme="majorHAnsi" w:cstheme="majorHAnsi"/>
          <w:sz w:val="20"/>
          <w:szCs w:val="20"/>
        </w:rPr>
        <w:t>Wybrana oferta spełnia wymagania Zamawiającego.</w:t>
      </w:r>
    </w:p>
    <w:p w14:paraId="39834651" w14:textId="77777777" w:rsidR="00DE2E37" w:rsidRPr="00DE2F08" w:rsidRDefault="00DE2E37" w:rsidP="008C3C24">
      <w:pPr>
        <w:pStyle w:val="TableContents"/>
        <w:jc w:val="both"/>
        <w:rPr>
          <w:rFonts w:asciiTheme="majorHAnsi" w:eastAsia="Arial Unicode MS" w:hAnsiTheme="majorHAnsi" w:cstheme="majorHAnsi"/>
          <w:sz w:val="20"/>
          <w:szCs w:val="20"/>
        </w:rPr>
      </w:pPr>
    </w:p>
    <w:p w14:paraId="2A32FC6F" w14:textId="77777777" w:rsidR="00F420C7" w:rsidRPr="003525C0" w:rsidRDefault="00F420C7" w:rsidP="008C3C24">
      <w:pPr>
        <w:pStyle w:val="Standard"/>
        <w:jc w:val="both"/>
        <w:rPr>
          <w:rFonts w:asciiTheme="majorHAnsi" w:eastAsia="Arial Unicode MS" w:hAnsiTheme="majorHAnsi" w:cstheme="majorHAnsi"/>
          <w:b/>
          <w:bCs/>
          <w:sz w:val="22"/>
          <w:szCs w:val="22"/>
        </w:rPr>
      </w:pPr>
      <w:r w:rsidRPr="003525C0">
        <w:rPr>
          <w:rFonts w:asciiTheme="majorHAnsi" w:eastAsia="Arial Unicode MS" w:hAnsiTheme="majorHAnsi" w:cstheme="majorHAnsi"/>
          <w:b/>
          <w:bCs/>
          <w:noProof/>
          <w:sz w:val="22"/>
          <w:szCs w:val="2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E446F32" wp14:editId="226AD437">
                <wp:simplePos x="0" y="0"/>
                <wp:positionH relativeFrom="column">
                  <wp:posOffset>2299455</wp:posOffset>
                </wp:positionH>
                <wp:positionV relativeFrom="paragraph">
                  <wp:posOffset>303350</wp:posOffset>
                </wp:positionV>
                <wp:extent cx="1800" cy="1800"/>
                <wp:effectExtent l="38100" t="38100" r="36830" b="36830"/>
                <wp:wrapNone/>
                <wp:docPr id="1384521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ABD70" id="Pismo odręczne 5" o:spid="_x0000_s1026" type="#_x0000_t75" style="position:absolute;margin-left:180.55pt;margin-top:23.4pt;width:1.15pt;height: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">
                <v:imagedata r:id="rId6" o:title=""/>
              </v:shape>
            </w:pict>
          </mc:Fallback>
        </mc:AlternateContent>
      </w:r>
      <w:r w:rsidRPr="003525C0">
        <w:rPr>
          <w:rFonts w:asciiTheme="majorHAnsi" w:eastAsia="Arial Unicode MS" w:hAnsiTheme="majorHAnsi" w:cstheme="majorHAnsi"/>
          <w:b/>
          <w:bCs/>
          <w:sz w:val="22"/>
          <w:szCs w:val="22"/>
        </w:rPr>
        <w:t>Zostały złożone następujące oferty :</w:t>
      </w:r>
    </w:p>
    <w:p w14:paraId="72AD2193" w14:textId="77777777" w:rsidR="00DE2E37" w:rsidRPr="00DE2F08" w:rsidRDefault="00DE2E37" w:rsidP="008C3C24">
      <w:pPr>
        <w:pStyle w:val="Standard"/>
        <w:jc w:val="both"/>
        <w:rPr>
          <w:rFonts w:asciiTheme="majorHAnsi" w:eastAsia="Arial Unicode MS" w:hAnsiTheme="majorHAnsi" w:cstheme="majorHAnsi"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4208"/>
        <w:gridCol w:w="1492"/>
        <w:gridCol w:w="1484"/>
      </w:tblGrid>
      <w:tr w:rsidR="000E4AB8" w:rsidRPr="00DE2F08" w14:paraId="6E270008" w14:textId="77777777" w:rsidTr="00F420C7">
        <w:tc>
          <w:tcPr>
            <w:tcW w:w="509" w:type="dxa"/>
          </w:tcPr>
          <w:p w14:paraId="010AEACC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Lp.</w:t>
            </w:r>
          </w:p>
        </w:tc>
        <w:tc>
          <w:tcPr>
            <w:tcW w:w="4208" w:type="dxa"/>
          </w:tcPr>
          <w:p w14:paraId="1ADE37A1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1492" w:type="dxa"/>
          </w:tcPr>
          <w:p w14:paraId="5A08D2B6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Kryterium cena</w:t>
            </w:r>
          </w:p>
        </w:tc>
        <w:tc>
          <w:tcPr>
            <w:tcW w:w="1484" w:type="dxa"/>
          </w:tcPr>
          <w:p w14:paraId="7DB399FA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0E4AB8" w:rsidRPr="00DE2F08" w14:paraId="4288F344" w14:textId="77777777" w:rsidTr="00F420C7">
        <w:tc>
          <w:tcPr>
            <w:tcW w:w="509" w:type="dxa"/>
          </w:tcPr>
          <w:p w14:paraId="6939289E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08" w:type="dxa"/>
          </w:tcPr>
          <w:p w14:paraId="7D0CC6BE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Przedsiębiorstwo Budowlano – Usługowe A-M</w:t>
            </w:r>
          </w:p>
          <w:p w14:paraId="0DDE510A" w14:textId="6E316906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41-500 Chorzów, ul. Składowa 17 lok. Nr 2</w:t>
            </w:r>
          </w:p>
        </w:tc>
        <w:tc>
          <w:tcPr>
            <w:tcW w:w="1492" w:type="dxa"/>
          </w:tcPr>
          <w:p w14:paraId="2AE30E4E" w14:textId="77777777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24D7A8A7" w14:textId="1DCBF1FB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100,00</w:t>
            </w:r>
            <w:r w:rsidR="00984DFC"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%</w:t>
            </w:r>
          </w:p>
        </w:tc>
        <w:tc>
          <w:tcPr>
            <w:tcW w:w="1484" w:type="dxa"/>
          </w:tcPr>
          <w:p w14:paraId="54F38897" w14:textId="77777777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10951666" w14:textId="340EFDF4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100,00</w:t>
            </w:r>
            <w:r w:rsidR="00984DFC"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%</w:t>
            </w:r>
          </w:p>
        </w:tc>
      </w:tr>
      <w:tr w:rsidR="000E4AB8" w:rsidRPr="00DE2F08" w14:paraId="08C5CF75" w14:textId="77777777" w:rsidTr="00F420C7">
        <w:tc>
          <w:tcPr>
            <w:tcW w:w="509" w:type="dxa"/>
          </w:tcPr>
          <w:p w14:paraId="1AE93D20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08" w:type="dxa"/>
          </w:tcPr>
          <w:p w14:paraId="1E7837BF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Fioletowi .pl Sp. z o.o.</w:t>
            </w:r>
          </w:p>
          <w:p w14:paraId="63FBEABD" w14:textId="5600562C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44-190 Knurów, ul. Floriana 7</w:t>
            </w:r>
          </w:p>
        </w:tc>
        <w:tc>
          <w:tcPr>
            <w:tcW w:w="1492" w:type="dxa"/>
          </w:tcPr>
          <w:p w14:paraId="64BC3DD3" w14:textId="77777777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52694102" w14:textId="786F6680" w:rsidR="000E4AB8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78,72%</w:t>
            </w:r>
          </w:p>
        </w:tc>
        <w:tc>
          <w:tcPr>
            <w:tcW w:w="1484" w:type="dxa"/>
          </w:tcPr>
          <w:p w14:paraId="05C9A272" w14:textId="77777777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4AE68695" w14:textId="3E315654" w:rsidR="000E4AB8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78,72%</w:t>
            </w:r>
          </w:p>
        </w:tc>
      </w:tr>
      <w:tr w:rsidR="000E4AB8" w:rsidRPr="00DE2F08" w14:paraId="5DD2F297" w14:textId="77777777" w:rsidTr="00F420C7">
        <w:tc>
          <w:tcPr>
            <w:tcW w:w="509" w:type="dxa"/>
          </w:tcPr>
          <w:p w14:paraId="27B4805D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208" w:type="dxa"/>
          </w:tcPr>
          <w:p w14:paraId="1A22B92C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6A283D"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Aspark Adam Stefński</w:t>
            </w:r>
          </w:p>
          <w:p w14:paraId="5C83F595" w14:textId="766FC921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40-871 Katowice, ul. Tysiąclecia nr 86b/15</w:t>
            </w:r>
          </w:p>
        </w:tc>
        <w:tc>
          <w:tcPr>
            <w:tcW w:w="1492" w:type="dxa"/>
          </w:tcPr>
          <w:p w14:paraId="3A7A1474" w14:textId="77777777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4D712D8B" w14:textId="0F47399E" w:rsidR="000E4AB8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72,79%</w:t>
            </w:r>
          </w:p>
        </w:tc>
        <w:tc>
          <w:tcPr>
            <w:tcW w:w="1484" w:type="dxa"/>
          </w:tcPr>
          <w:p w14:paraId="2610DCB6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  <w:p w14:paraId="672DA9AB" w14:textId="3DF4398B" w:rsidR="00984DFC" w:rsidRPr="00DE2F08" w:rsidRDefault="00984DFC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72,79%</w:t>
            </w:r>
          </w:p>
        </w:tc>
      </w:tr>
      <w:tr w:rsidR="006A283D" w:rsidRPr="00DE2F08" w14:paraId="28392D43" w14:textId="77777777" w:rsidTr="000F6AEA">
        <w:tc>
          <w:tcPr>
            <w:tcW w:w="509" w:type="dxa"/>
          </w:tcPr>
          <w:p w14:paraId="4378C7C1" w14:textId="77777777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7184" w:type="dxa"/>
            <w:gridSpan w:val="3"/>
          </w:tcPr>
          <w:p w14:paraId="6B0E8CB7" w14:textId="1500F69D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OFERTY ODRZUCONE</w:t>
            </w:r>
          </w:p>
        </w:tc>
      </w:tr>
      <w:tr w:rsidR="006A283D" w:rsidRPr="00DE2F08" w14:paraId="25796F13" w14:textId="77777777" w:rsidTr="00F420C7">
        <w:tc>
          <w:tcPr>
            <w:tcW w:w="509" w:type="dxa"/>
          </w:tcPr>
          <w:p w14:paraId="7DFB8E1D" w14:textId="6101A373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208" w:type="dxa"/>
          </w:tcPr>
          <w:p w14:paraId="72FF9387" w14:textId="77777777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>Firma MAT MAL – Usługi Budowlane</w:t>
            </w:r>
          </w:p>
          <w:p w14:paraId="0327455F" w14:textId="77777777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 xml:space="preserve"> Mateusz Korzeniowski</w:t>
            </w: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</w:p>
          <w:p w14:paraId="3687EBBE" w14:textId="05658FE6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34-130 Kalwaria Zebrzydowska Brody 114</w:t>
            </w:r>
          </w:p>
        </w:tc>
        <w:tc>
          <w:tcPr>
            <w:tcW w:w="1492" w:type="dxa"/>
          </w:tcPr>
          <w:p w14:paraId="176B9F95" w14:textId="56C9142C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16D5DC84" w14:textId="1685BA16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0,00</w:t>
            </w:r>
          </w:p>
        </w:tc>
      </w:tr>
      <w:tr w:rsidR="000E4AB8" w:rsidRPr="00DE2F08" w14:paraId="20277D64" w14:textId="77777777" w:rsidTr="00F420C7">
        <w:tc>
          <w:tcPr>
            <w:tcW w:w="509" w:type="dxa"/>
          </w:tcPr>
          <w:p w14:paraId="1657DB89" w14:textId="6A9366C4" w:rsidR="000E4AB8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208" w:type="dxa"/>
          </w:tcPr>
          <w:p w14:paraId="7A3D8E18" w14:textId="77777777" w:rsidR="000E4AB8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b/>
                <w:bCs/>
                <w:sz w:val="20"/>
                <w:szCs w:val="20"/>
              </w:rPr>
              <w:t xml:space="preserve">Fortis Marcin Wawrzeńczak </w:t>
            </w:r>
          </w:p>
          <w:p w14:paraId="30E6BC62" w14:textId="3C82BD97" w:rsidR="006A283D" w:rsidRPr="00DE2F08" w:rsidRDefault="006A283D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42-690 Tworóg ul. Nowa 12</w:t>
            </w:r>
          </w:p>
        </w:tc>
        <w:tc>
          <w:tcPr>
            <w:tcW w:w="1492" w:type="dxa"/>
          </w:tcPr>
          <w:p w14:paraId="1ED5D4EB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0,00</w:t>
            </w:r>
          </w:p>
        </w:tc>
        <w:tc>
          <w:tcPr>
            <w:tcW w:w="1484" w:type="dxa"/>
          </w:tcPr>
          <w:p w14:paraId="5AAFAA5C" w14:textId="77777777" w:rsidR="000E4AB8" w:rsidRPr="00DE2F08" w:rsidRDefault="000E4AB8" w:rsidP="008C3C24">
            <w:pPr>
              <w:pStyle w:val="Standard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DE2F08">
              <w:rPr>
                <w:rFonts w:asciiTheme="majorHAnsi" w:eastAsia="Arial Unicode MS" w:hAnsiTheme="majorHAnsi" w:cstheme="majorHAnsi"/>
                <w:sz w:val="20"/>
                <w:szCs w:val="20"/>
              </w:rPr>
              <w:t>0,00</w:t>
            </w:r>
          </w:p>
        </w:tc>
      </w:tr>
    </w:tbl>
    <w:p w14:paraId="6430E4EC" w14:textId="77777777" w:rsidR="0021157A" w:rsidRPr="00DE2F08" w:rsidRDefault="0021157A" w:rsidP="008C3C24">
      <w:pPr>
        <w:pStyle w:val="Standard"/>
        <w:jc w:val="both"/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</w:pPr>
      <w:r w:rsidRPr="00DE2F08"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  <w:t xml:space="preserve"> </w:t>
      </w:r>
    </w:p>
    <w:p w14:paraId="22B25163" w14:textId="77777777" w:rsidR="00DE2E37" w:rsidRPr="00DE2F08" w:rsidRDefault="00DE2E37" w:rsidP="008C3C24">
      <w:pPr>
        <w:pStyle w:val="Standard"/>
        <w:jc w:val="both"/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</w:pPr>
    </w:p>
    <w:p w14:paraId="0F5AB747" w14:textId="77777777" w:rsidR="00DE2E37" w:rsidRPr="00DE2F08" w:rsidRDefault="00DE2E37" w:rsidP="008C3C24">
      <w:pPr>
        <w:pStyle w:val="Standard"/>
        <w:jc w:val="both"/>
        <w:rPr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DE2F08"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  <w:t xml:space="preserve">Uzasadnienie odrzucenia oferty: </w:t>
      </w:r>
      <w:r w:rsidRPr="00DE2F08">
        <w:rPr>
          <w:rFonts w:asciiTheme="majorHAnsi" w:eastAsia="Arial Unicode MS" w:hAnsiTheme="majorHAnsi" w:cstheme="majorHAnsi"/>
          <w:b/>
          <w:bCs/>
          <w:sz w:val="20"/>
          <w:szCs w:val="20"/>
        </w:rPr>
        <w:t xml:space="preserve"> Firma MAT MAL – Usługi Budowlane  Mateusz Korzeniowski</w:t>
      </w:r>
      <w:r w:rsidRPr="00DE2F08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</w:p>
    <w:p w14:paraId="5C2591A1" w14:textId="77777777" w:rsidR="00DE2E37" w:rsidRPr="00DE2F08" w:rsidRDefault="00DE2E37" w:rsidP="008C3C24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  <w:r w:rsidRPr="00DE2F08">
        <w:rPr>
          <w:rFonts w:asciiTheme="majorHAnsi" w:eastAsia="Arial Unicode MS" w:hAnsiTheme="majorHAnsi" w:cstheme="majorHAnsi"/>
          <w:sz w:val="20"/>
          <w:szCs w:val="20"/>
        </w:rPr>
        <w:t>34-130 Kalwaria Zebrzydowska Brody 114</w:t>
      </w:r>
    </w:p>
    <w:p w14:paraId="3969909A" w14:textId="77777777" w:rsidR="00DE2E37" w:rsidRPr="00DE2F08" w:rsidRDefault="00DE2E37" w:rsidP="008C3C24">
      <w:pPr>
        <w:jc w:val="both"/>
        <w:rPr>
          <w:rFonts w:asciiTheme="majorHAnsi" w:eastAsia="Arial Unicode MS" w:hAnsiTheme="majorHAnsi" w:cstheme="majorHAnsi"/>
          <w:sz w:val="20"/>
          <w:szCs w:val="20"/>
        </w:rPr>
      </w:pPr>
    </w:p>
    <w:p w14:paraId="72D87A63" w14:textId="75DC1402" w:rsidR="00DE2F08" w:rsidRPr="00DE2F08" w:rsidRDefault="00DE2E37" w:rsidP="008C3C24">
      <w:pPr>
        <w:jc w:val="both"/>
        <w:rPr>
          <w:rFonts w:asciiTheme="majorHAnsi" w:eastAsia="MS Mincho" w:hAnsiTheme="majorHAnsi" w:cstheme="majorHAnsi"/>
          <w:sz w:val="20"/>
          <w:szCs w:val="20"/>
        </w:rPr>
      </w:pPr>
      <w:r w:rsidRPr="00DE2F08">
        <w:rPr>
          <w:rFonts w:asciiTheme="majorHAnsi" w:hAnsiTheme="majorHAnsi" w:cstheme="majorHAnsi"/>
          <w:sz w:val="20"/>
          <w:szCs w:val="20"/>
          <w:u w:val="single"/>
        </w:rPr>
        <w:t>Uzasadnienie prawne:</w:t>
      </w:r>
      <w:r w:rsidRPr="00DE2F08">
        <w:rPr>
          <w:rFonts w:asciiTheme="majorHAnsi" w:eastAsia="MS Mincho" w:hAnsiTheme="majorHAnsi" w:cstheme="majorHAnsi"/>
          <w:sz w:val="20"/>
          <w:szCs w:val="20"/>
        </w:rPr>
        <w:t xml:space="preserve"> art. 226 ust. 1. pkt 3 i 6 w związku z art. 63 ust. 1 ustawy Pzp.</w:t>
      </w:r>
    </w:p>
    <w:p w14:paraId="587550DD" w14:textId="77777777" w:rsidR="00DE2F08" w:rsidRDefault="00DE2F08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07701581" w14:textId="16F88E3C" w:rsidR="00DE2E37" w:rsidRPr="00DE2F08" w:rsidRDefault="00DE2E37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DE2F08">
        <w:rPr>
          <w:rFonts w:asciiTheme="majorHAnsi" w:hAnsiTheme="majorHAnsi" w:cstheme="majorHAnsi"/>
          <w:sz w:val="20"/>
          <w:szCs w:val="20"/>
          <w:u w:val="single"/>
        </w:rPr>
        <w:t xml:space="preserve">Uzasadnienie faktyczne: </w:t>
      </w:r>
    </w:p>
    <w:p w14:paraId="3712DA54" w14:textId="48E79B10" w:rsidR="00DE2E37" w:rsidRPr="00DE2F08" w:rsidRDefault="00DE2E37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DE2F08">
        <w:rPr>
          <w:rFonts w:asciiTheme="majorHAnsi" w:hAnsiTheme="majorHAnsi" w:cstheme="majorHAnsi"/>
          <w:sz w:val="20"/>
          <w:szCs w:val="20"/>
        </w:rPr>
        <w:t xml:space="preserve">Stan faktyczny przedstawia się następująco: wykonawca złożył ofertę uprzednio wydrukowaną, opatrzył własnoręcznym podpisem, następnie zeskanował </w:t>
      </w:r>
      <w:r w:rsidR="00F6586B" w:rsidRPr="00DE2F08">
        <w:rPr>
          <w:rFonts w:asciiTheme="majorHAnsi" w:hAnsiTheme="majorHAnsi" w:cstheme="majorHAnsi"/>
          <w:sz w:val="20"/>
          <w:szCs w:val="20"/>
        </w:rPr>
        <w:t>,</w:t>
      </w:r>
      <w:r w:rsidRPr="00DE2F08">
        <w:rPr>
          <w:rFonts w:asciiTheme="majorHAnsi" w:hAnsiTheme="majorHAnsi" w:cstheme="majorHAnsi"/>
          <w:sz w:val="20"/>
          <w:szCs w:val="20"/>
        </w:rPr>
        <w:t xml:space="preserve"> przesłał elektronicznie, ale bez podpisu elektronicznego.</w:t>
      </w:r>
    </w:p>
    <w:p w14:paraId="581B4F29" w14:textId="20F90C04" w:rsidR="00983F48" w:rsidRPr="00DE2F08" w:rsidRDefault="00DE2E37" w:rsidP="008C3C24">
      <w:pPr>
        <w:pStyle w:val="Textbody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E2F08">
        <w:rPr>
          <w:rFonts w:asciiTheme="majorHAnsi" w:hAnsiTheme="majorHAnsi" w:cstheme="majorHAnsi"/>
          <w:sz w:val="20"/>
          <w:szCs w:val="20"/>
        </w:rPr>
        <w:t xml:space="preserve">Zamawiający dopuszczał złożenie oferty w postaci lub formie elektronicznej </w:t>
      </w:r>
      <w:r w:rsidR="00F6586B" w:rsidRPr="00DE2F08">
        <w:rPr>
          <w:rFonts w:asciiTheme="majorHAnsi" w:hAnsiTheme="majorHAnsi" w:cstheme="majorHAnsi"/>
          <w:sz w:val="20"/>
          <w:szCs w:val="20"/>
        </w:rPr>
        <w:t xml:space="preserve">ale </w:t>
      </w:r>
      <w:r w:rsidRPr="00DE2F08">
        <w:rPr>
          <w:rFonts w:asciiTheme="majorHAnsi" w:hAnsiTheme="majorHAnsi" w:cstheme="majorHAnsi"/>
          <w:sz w:val="20"/>
          <w:szCs w:val="20"/>
        </w:rPr>
        <w:t>opatrzonej podpisem</w:t>
      </w:r>
      <w:r w:rsidRPr="00DE2F08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Pr="00DE2F08">
        <w:rPr>
          <w:rFonts w:asciiTheme="majorHAnsi" w:hAnsiTheme="majorHAnsi" w:cstheme="majorHAnsi"/>
          <w:sz w:val="20"/>
          <w:szCs w:val="20"/>
        </w:rPr>
        <w:t>elektronicznym na adres e-mail</w:t>
      </w:r>
      <w:r w:rsidRPr="00DE2F08">
        <w:rPr>
          <w:rFonts w:asciiTheme="majorHAnsi" w:hAnsiTheme="majorHAnsi" w:cstheme="majorHAnsi"/>
          <w:b/>
          <w:bCs/>
          <w:sz w:val="20"/>
          <w:szCs w:val="20"/>
        </w:rPr>
        <w:t xml:space="preserve">: </w:t>
      </w:r>
      <w:hyperlink r:id="rId8" w:history="1">
        <w:r w:rsidR="008C56CA" w:rsidRPr="00DE2F08">
          <w:rPr>
            <w:rStyle w:val="Hipercze"/>
            <w:rFonts w:asciiTheme="majorHAnsi" w:hAnsiTheme="majorHAnsi" w:cstheme="majorHAnsi"/>
            <w:b/>
            <w:bCs/>
            <w:sz w:val="20"/>
            <w:szCs w:val="20"/>
          </w:rPr>
          <w:t>sekretariat@dpsp.gliwice.eu</w:t>
        </w:r>
      </w:hyperlink>
      <w:r w:rsidRPr="00DE2F08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019C8FCA" w14:textId="77777777" w:rsidR="00983F48" w:rsidRPr="00DE2F08" w:rsidRDefault="00C367EC" w:rsidP="008C3C24">
      <w:pPr>
        <w:pStyle w:val="Textbody"/>
        <w:jc w:val="both"/>
        <w:rPr>
          <w:rFonts w:asciiTheme="majorHAnsi" w:hAnsiTheme="majorHAnsi" w:cstheme="majorHAnsi"/>
          <w:sz w:val="20"/>
          <w:szCs w:val="20"/>
        </w:rPr>
      </w:pPr>
      <w:r w:rsidRPr="00DE2F08">
        <w:rPr>
          <w:rStyle w:val="Pogrubienie"/>
          <w:rFonts w:asciiTheme="majorHAnsi" w:hAnsiTheme="majorHAnsi" w:cstheme="majorHAnsi"/>
          <w:b w:val="0"/>
          <w:bCs w:val="0"/>
          <w:sz w:val="20"/>
          <w:szCs w:val="20"/>
        </w:rPr>
        <w:t xml:space="preserve">Oferta </w:t>
      </w:r>
      <w:r w:rsidRPr="00DE2F08">
        <w:rPr>
          <w:rFonts w:asciiTheme="majorHAnsi" w:hAnsiTheme="majorHAnsi" w:cstheme="majorHAnsi"/>
          <w:sz w:val="20"/>
          <w:szCs w:val="20"/>
        </w:rPr>
        <w:t>nie została sporządzona lub przekazana w sposób zgodny z wymaganiami technicznymi oraz organizacyjnymi sporządzania lub przekazywania ofert przy użyciu środków komunikacji elektronicznej określonymi przez zamawiającego.</w:t>
      </w:r>
      <w:r w:rsidR="00550D82" w:rsidRPr="00DE2F08">
        <w:rPr>
          <w:rFonts w:asciiTheme="majorHAnsi" w:hAnsiTheme="majorHAnsi" w:cstheme="majorHAnsi"/>
          <w:sz w:val="20"/>
          <w:szCs w:val="20"/>
        </w:rPr>
        <w:t xml:space="preserve"> Oferta, która została złożona bez opatrzenia właściwym podpisem elektronicznym podlega odrzuceniu na podstawie art. 226 ust. 1 pkt 3 ustawy Pzp z uwagi na niezgodność </w:t>
      </w:r>
    </w:p>
    <w:p w14:paraId="655DFD0A" w14:textId="1CFF1A31" w:rsidR="00C367EC" w:rsidRPr="00DE2F08" w:rsidRDefault="00550D82" w:rsidP="008C3C24">
      <w:pPr>
        <w:pStyle w:val="Textbody"/>
        <w:jc w:val="both"/>
        <w:rPr>
          <w:rStyle w:val="Pogrubienie"/>
          <w:rFonts w:asciiTheme="majorHAnsi" w:hAnsiTheme="majorHAnsi" w:cstheme="majorHAnsi"/>
          <w:sz w:val="20"/>
          <w:szCs w:val="20"/>
        </w:rPr>
      </w:pPr>
      <w:r w:rsidRPr="00DE2F08">
        <w:rPr>
          <w:rFonts w:asciiTheme="majorHAnsi" w:hAnsiTheme="majorHAnsi" w:cstheme="majorHAnsi"/>
          <w:sz w:val="20"/>
          <w:szCs w:val="20"/>
        </w:rPr>
        <w:t>z art. 63 ustawy Pzp.</w:t>
      </w:r>
    </w:p>
    <w:p w14:paraId="5B5B2760" w14:textId="77777777" w:rsidR="00DE2E37" w:rsidRPr="00DE2F08" w:rsidRDefault="00DE2E37" w:rsidP="008C3C24">
      <w:pPr>
        <w:pStyle w:val="Standard"/>
        <w:jc w:val="both"/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</w:pPr>
    </w:p>
    <w:p w14:paraId="2F025D10" w14:textId="72059612" w:rsidR="0021157A" w:rsidRPr="00DE2F08" w:rsidRDefault="0021157A" w:rsidP="008C3C24">
      <w:pPr>
        <w:pStyle w:val="Standard"/>
        <w:jc w:val="both"/>
        <w:rPr>
          <w:rFonts w:asciiTheme="majorHAnsi" w:eastAsia="Arial Unicode MS" w:hAnsiTheme="majorHAnsi" w:cstheme="majorHAnsi"/>
          <w:b/>
          <w:bCs/>
          <w:sz w:val="20"/>
          <w:szCs w:val="20"/>
        </w:rPr>
      </w:pPr>
      <w:r w:rsidRPr="00DE2F08">
        <w:rPr>
          <w:rFonts w:asciiTheme="majorHAnsi" w:eastAsia="MS Mincho" w:hAnsiTheme="majorHAnsi" w:cstheme="majorHAnsi"/>
          <w:b/>
          <w:bCs/>
          <w:sz w:val="20"/>
          <w:szCs w:val="20"/>
          <w:u w:val="single"/>
        </w:rPr>
        <w:t xml:space="preserve">Uzasadnienie odrzucenia oferty: </w:t>
      </w:r>
      <w:r w:rsidR="00984DFC" w:rsidRPr="00DE2F08">
        <w:rPr>
          <w:rFonts w:asciiTheme="majorHAnsi" w:eastAsia="Arial Unicode MS" w:hAnsiTheme="majorHAnsi" w:cstheme="majorHAnsi"/>
          <w:b/>
          <w:bCs/>
          <w:sz w:val="20"/>
          <w:szCs w:val="20"/>
        </w:rPr>
        <w:t xml:space="preserve">Fortis Marcin Wawrzeńczak  </w:t>
      </w:r>
      <w:r w:rsidR="00984DFC" w:rsidRPr="00DE2F08">
        <w:rPr>
          <w:rFonts w:asciiTheme="majorHAnsi" w:eastAsia="Arial Unicode MS" w:hAnsiTheme="majorHAnsi" w:cstheme="majorHAnsi"/>
          <w:sz w:val="20"/>
          <w:szCs w:val="20"/>
        </w:rPr>
        <w:t>42-690 Tworóg ul. Nowa 12</w:t>
      </w:r>
    </w:p>
    <w:p w14:paraId="59CCDEA6" w14:textId="78319D4B" w:rsidR="00984DFC" w:rsidRPr="00DE2F08" w:rsidRDefault="00984DFC" w:rsidP="008C3C24">
      <w:pPr>
        <w:pStyle w:val="NormalnyWeb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DE2F08">
        <w:rPr>
          <w:rFonts w:asciiTheme="majorHAnsi" w:hAnsiTheme="majorHAnsi" w:cstheme="majorHAnsi"/>
          <w:sz w:val="20"/>
          <w:szCs w:val="20"/>
        </w:rPr>
        <w:t xml:space="preserve">Uzasadnienie prawne: </w:t>
      </w:r>
      <w:r w:rsidRPr="00DE2F08">
        <w:rPr>
          <w:rFonts w:asciiTheme="majorHAnsi" w:hAnsiTheme="majorHAnsi" w:cstheme="majorHAnsi"/>
          <w:sz w:val="20"/>
          <w:szCs w:val="20"/>
          <w:u w:val="single"/>
        </w:rPr>
        <w:t>art. 226 ust. 1 pkt. 10</w:t>
      </w:r>
    </w:p>
    <w:p w14:paraId="63197F9D" w14:textId="77777777" w:rsidR="00983F48" w:rsidRPr="00DE2F08" w:rsidRDefault="00983F48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42C89EE3" w14:textId="77777777" w:rsidR="00983F48" w:rsidRPr="00DE2F08" w:rsidRDefault="00983F48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60B5998E" w14:textId="24F6DBDB" w:rsidR="00983F48" w:rsidRPr="00DE2F08" w:rsidRDefault="00984DFC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DE2F08">
        <w:rPr>
          <w:rFonts w:asciiTheme="majorHAnsi" w:hAnsiTheme="majorHAnsi" w:cstheme="majorHAnsi"/>
          <w:sz w:val="20"/>
          <w:szCs w:val="20"/>
          <w:u w:val="single"/>
        </w:rPr>
        <w:t>Uzasadnienie faktyczne:</w:t>
      </w:r>
    </w:p>
    <w:p w14:paraId="502DD4C7" w14:textId="77777777" w:rsidR="00077EAC" w:rsidRPr="00DE2F08" w:rsidRDefault="00077EAC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</w:p>
    <w:p w14:paraId="45929708" w14:textId="67DF32EB" w:rsidR="00077EAC" w:rsidRPr="00DE2F08" w:rsidRDefault="00077EAC" w:rsidP="008C3C24">
      <w:pPr>
        <w:jc w:val="both"/>
        <w:rPr>
          <w:rFonts w:asciiTheme="majorHAnsi" w:hAnsiTheme="majorHAnsi" w:cstheme="majorHAnsi"/>
          <w:sz w:val="20"/>
          <w:szCs w:val="20"/>
        </w:rPr>
      </w:pPr>
      <w:r w:rsidRPr="00DE2F08">
        <w:rPr>
          <w:rFonts w:asciiTheme="majorHAnsi" w:hAnsiTheme="majorHAnsi" w:cstheme="majorHAnsi"/>
          <w:sz w:val="20"/>
          <w:szCs w:val="20"/>
        </w:rPr>
        <w:t>Zamawiający odrzucił ofertę w/w Firmy, z uwagi na fakt, iż zawiera błędy w obliczeniu ceny polegającej na zastosowaniu niewłaściwej stawki podatku od towaru i usług VAT w wysokości 23%.</w:t>
      </w:r>
    </w:p>
    <w:p w14:paraId="30FE6DBC" w14:textId="3ED32218" w:rsidR="00983F48" w:rsidRPr="00DE2F08" w:rsidRDefault="00983F48" w:rsidP="008C3C24">
      <w:pPr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DE2F08">
        <w:rPr>
          <w:rFonts w:asciiTheme="majorHAnsi" w:hAnsiTheme="majorHAnsi" w:cstheme="majorHAnsi"/>
          <w:sz w:val="20"/>
          <w:szCs w:val="20"/>
        </w:rPr>
        <w:t>Budynek</w:t>
      </w:r>
      <w:r w:rsidR="00077EAC" w:rsidRPr="00DE2F08">
        <w:rPr>
          <w:rFonts w:asciiTheme="majorHAnsi" w:hAnsiTheme="majorHAnsi" w:cstheme="majorHAnsi"/>
          <w:sz w:val="20"/>
          <w:szCs w:val="20"/>
        </w:rPr>
        <w:t xml:space="preserve"> DPS</w:t>
      </w:r>
      <w:r w:rsidRPr="00DE2F08">
        <w:rPr>
          <w:rFonts w:asciiTheme="majorHAnsi" w:hAnsiTheme="majorHAnsi" w:cstheme="majorHAnsi"/>
          <w:sz w:val="20"/>
          <w:szCs w:val="20"/>
        </w:rPr>
        <w:t>, zalicza się do budownictwa objętego społecznym programem mieszkaniowym. Obiekt oznaczony jest w następujący sposób: – wg PKOB – dział 11 – budynki zbiorowego zamieszkania; symbol – 1130, funkcja główna – dom pomocy społeczne</w:t>
      </w:r>
      <w:r w:rsidR="008C3C24">
        <w:rPr>
          <w:rFonts w:asciiTheme="majorHAnsi" w:hAnsiTheme="majorHAnsi" w:cstheme="majorHAnsi"/>
          <w:sz w:val="20"/>
          <w:szCs w:val="20"/>
        </w:rPr>
        <w:t>j</w:t>
      </w:r>
    </w:p>
    <w:p w14:paraId="59D38873" w14:textId="78B14A0B" w:rsidR="00983F48" w:rsidRPr="00DE2F08" w:rsidRDefault="00983F48" w:rsidP="008C3C24">
      <w:pPr>
        <w:autoSpaceDE w:val="0"/>
        <w:jc w:val="both"/>
        <w:rPr>
          <w:rFonts w:asciiTheme="majorHAnsi" w:eastAsia="Helvetica" w:hAnsiTheme="majorHAnsi" w:cstheme="majorHAnsi"/>
          <w:sz w:val="20"/>
          <w:szCs w:val="20"/>
        </w:rPr>
      </w:pPr>
      <w:r w:rsidRPr="00DE2F08">
        <w:rPr>
          <w:rFonts w:asciiTheme="majorHAnsi" w:eastAsia="Helvetica" w:hAnsiTheme="majorHAnsi" w:cstheme="majorHAnsi"/>
          <w:sz w:val="20"/>
          <w:szCs w:val="20"/>
        </w:rPr>
        <w:t xml:space="preserve">Zgodnie z Interpretacją </w:t>
      </w:r>
      <w:r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>18 listopada 2022r. Dyrektora Krajowej Informacji Skarbowej</w:t>
      </w:r>
      <w:r w:rsidRPr="00DE2F08">
        <w:rPr>
          <w:rFonts w:asciiTheme="majorHAnsi" w:eastAsia="Helvetica" w:hAnsiTheme="majorHAnsi" w:cstheme="majorHAnsi"/>
          <w:sz w:val="20"/>
          <w:szCs w:val="20"/>
        </w:rPr>
        <w:t xml:space="preserve"> </w:t>
      </w:r>
      <w:r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 xml:space="preserve">DPS </w:t>
      </w:r>
      <w:r w:rsidR="00F6586B"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 xml:space="preserve">jako </w:t>
      </w:r>
      <w:r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>będący budynkiem stałego zamieszkania  zaliczonego do budownictwa objętego społecznym programem mieszkaniowym, podlega</w:t>
      </w:r>
      <w:r w:rsidR="00F6586B"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 xml:space="preserve"> </w:t>
      </w:r>
      <w:r w:rsidRPr="00DE2F08">
        <w:rPr>
          <w:rFonts w:asciiTheme="majorHAnsi" w:eastAsiaTheme="minorHAnsi" w:hAnsiTheme="majorHAnsi" w:cstheme="majorHAnsi"/>
          <w:kern w:val="2"/>
          <w:sz w:val="20"/>
          <w:szCs w:val="20"/>
          <w:lang w:eastAsia="en-US" w:bidi="ar-SA"/>
          <w14:ligatures w14:val="standardContextual"/>
        </w:rPr>
        <w:t>opodatkowaniu stawką podatku  od towarów i usług w wysokości 8%.</w:t>
      </w:r>
      <w:r w:rsidR="00F6586B" w:rsidRPr="00DE2F08">
        <w:rPr>
          <w:rFonts w:asciiTheme="majorHAnsi" w:eastAsia="Helvetica" w:hAnsiTheme="majorHAnsi" w:cstheme="majorHAnsi"/>
          <w:sz w:val="20"/>
          <w:szCs w:val="20"/>
        </w:rPr>
        <w:t xml:space="preserve"> </w:t>
      </w:r>
      <w:r w:rsidRPr="00DE2F08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Organ podkreśla, że warunkiem zastosowania 8% stawki podatku, na podstawie art. 41 ust. 12 ustawy, jest spełnienie dwóch przesłanek. Po pierwsze: zakres wykonywanych czynności musi dotyczyć dostawy, budowy, remontu, modernizacji, termomodernizacji, przebudowy lub robót konserwacyjnych dotyczących obiektów budowlanych lub ich części. Po drugie: obiekty budowlane lub ich części, których dotyczą ww. czynności, muszą być zaliczane do budownictwa objętego społecznym programem mieszkaniowym. Niespełnienie chociażby jednej z ww. przesłanek powoduje, że transakcja nie może korzystać z preferencyjnej, 8% stawki podatku</w:t>
      </w:r>
      <w:r w:rsidR="00DE2F08" w:rsidRPr="00DE2F08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.</w:t>
      </w:r>
      <w:r w:rsidRPr="00DE2F08">
        <w:rPr>
          <w:rFonts w:asciiTheme="majorHAnsi" w:eastAsia="Times New Roman" w:hAnsiTheme="majorHAnsi" w:cstheme="majorHAnsi"/>
          <w:vanish/>
          <w:kern w:val="0"/>
          <w:sz w:val="20"/>
          <w:szCs w:val="20"/>
          <w:lang w:eastAsia="pl-PL" w:bidi="ar-SA"/>
        </w:rPr>
        <w:t>Dół formularza</w:t>
      </w:r>
    </w:p>
    <w:p w14:paraId="47756EB0" w14:textId="0E1572BB" w:rsidR="0021157A" w:rsidRPr="00DE2F08" w:rsidRDefault="00DE2F08" w:rsidP="008C3C24">
      <w:pPr>
        <w:pStyle w:val="Standard"/>
        <w:jc w:val="both"/>
        <w:rPr>
          <w:rFonts w:asciiTheme="majorHAnsi" w:eastAsia="MS Mincho" w:hAnsiTheme="majorHAnsi" w:cstheme="majorHAnsi"/>
          <w:sz w:val="20"/>
          <w:szCs w:val="20"/>
        </w:rPr>
      </w:pPr>
      <w:r w:rsidRPr="00DE2F08">
        <w:rPr>
          <w:rFonts w:asciiTheme="majorHAnsi" w:eastAsia="MS Mincho" w:hAnsiTheme="majorHAnsi" w:cstheme="majorHAnsi"/>
          <w:sz w:val="20"/>
          <w:szCs w:val="20"/>
        </w:rPr>
        <w:t>W</w:t>
      </w:r>
      <w:r w:rsidR="0021157A" w:rsidRPr="00DE2F08">
        <w:rPr>
          <w:rFonts w:asciiTheme="majorHAnsi" w:eastAsia="MS Mincho" w:hAnsiTheme="majorHAnsi" w:cstheme="majorHAnsi"/>
          <w:sz w:val="20"/>
          <w:szCs w:val="20"/>
        </w:rPr>
        <w:t xml:space="preserve"> wyroku z dnia 8 lipca 2019r., sygnatura akt KIO 1046/19, KIO 1065/19 skład orzekający uznał, że zgodnie z literalnym brzmieniem art. 89 ust 1 pkt 6 Pzp (aktualnie art. 226 ust. 1 pkt. 10 ustawy Pzp) „Zamawiający ma obowiązek odrzucenia oferty zawsze, jeżeli stwierdzi błędy w obliczeniu ceny lub kosztu. Krajowa Izba Odwoławcza uznała, że ustawodawca w żaden sposób nie określił, jakie błędy skutkują odrzuceniem oferty, nie dokonał w tym zakresie żadnego  zróżnicowania. Przyjąć zatem należy, że chodzi tutaj o każdy błąd polegający na zastosowaniu nieprawidłowej stawki VAT, i to niezależnie od tego, czy Wykonawca zastosował stawkę niższą czy też wyższą od prawidłowej.”</w:t>
      </w:r>
    </w:p>
    <w:p w14:paraId="3F078C72" w14:textId="34E49D63" w:rsidR="00664D29" w:rsidRPr="00DE2F08" w:rsidRDefault="0021157A" w:rsidP="008C3C24">
      <w:pPr>
        <w:pStyle w:val="Standard"/>
        <w:jc w:val="both"/>
        <w:rPr>
          <w:rFonts w:asciiTheme="majorHAnsi" w:eastAsia="MS Mincho" w:hAnsiTheme="majorHAnsi" w:cstheme="majorHAnsi"/>
          <w:sz w:val="20"/>
          <w:szCs w:val="20"/>
        </w:rPr>
      </w:pPr>
      <w:r w:rsidRPr="00DE2F08">
        <w:rPr>
          <w:rFonts w:asciiTheme="majorHAnsi" w:eastAsia="MS Mincho" w:hAnsiTheme="majorHAnsi" w:cstheme="majorHAnsi"/>
          <w:sz w:val="20"/>
          <w:szCs w:val="20"/>
        </w:rPr>
        <w:t xml:space="preserve">Takie stanowisko przyjęto również w wyroku KIO z dnia 11 stycznia 2021roku (KIO 3229/20), gdzie wskazano, iż „Za błąd w obliczeniu ceny należy uznać wadliwy dobór przez Wykonawcę elementów mających wpływ na właściwe obliczenie ceny oferty w tym przyjęcie i zastosowanie przez Wykonawcę wadliwej stawki VAT, w przypadku gdy Zamawiający nie określił wysokości stawki tego podatku w SIW (zapytaniu ofertowym)., ale wymagał samodzielnego zastosowania przez Wykonawcę obowiązujących przepisów w tym zakresie. </w:t>
      </w:r>
    </w:p>
    <w:p w14:paraId="0EAC2E6B" w14:textId="2476AACC" w:rsidR="003306F6" w:rsidRDefault="003306F6" w:rsidP="008C3C24">
      <w:pPr>
        <w:pStyle w:val="Standard"/>
        <w:jc w:val="both"/>
        <w:rPr>
          <w:rFonts w:asciiTheme="majorHAnsi" w:eastAsia="MS Mincho" w:hAnsiTheme="majorHAnsi" w:cstheme="majorHAnsi"/>
          <w:sz w:val="20"/>
          <w:szCs w:val="20"/>
        </w:rPr>
      </w:pPr>
      <w:r>
        <w:rPr>
          <w:rFonts w:asciiTheme="majorHAnsi" w:eastAsia="MS Mincho" w:hAnsiTheme="majorHAnsi" w:cstheme="majorHAnsi"/>
          <w:sz w:val="20"/>
          <w:szCs w:val="20"/>
        </w:rPr>
        <w:t>W niniejszym postepowaniu Zamawiający nie wskazał konkretnej stawki podatku VAT. Zamawiający nie ma obowiązku wskazania w zapytaniu ofertowym  stawki od podatku od towaru i usług. Wobec powyższego Zamawiający przyjął, że to Wykonawca jako profesjonalista na rynku określi i przyjmie w ofercie podatek od towarów i usług w wysokości wynikającej z przepisów prawa podatkowego.</w:t>
      </w:r>
    </w:p>
    <w:p w14:paraId="01B8D7BD" w14:textId="77777777" w:rsidR="00DE2E37" w:rsidRDefault="00DE2E37" w:rsidP="008C3C2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3427C4B" w14:textId="77777777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D2C70C" w14:textId="31578934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Gliwice, dnia 28.08.2025r.</w:t>
      </w:r>
    </w:p>
    <w:p w14:paraId="1C2C0E62" w14:textId="77777777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1C87BB98" w14:textId="77777777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5E0C4936" w14:textId="4F68B104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      mgr Jolanta Pszczółka</w:t>
      </w:r>
    </w:p>
    <w:p w14:paraId="63AA7863" w14:textId="1A5D69DA" w:rsidR="00C74C60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>………………………………………………</w:t>
      </w:r>
    </w:p>
    <w:p w14:paraId="22B01A9E" w14:textId="641A74F4" w:rsidR="00C74C60" w:rsidRPr="00DE2F08" w:rsidRDefault="00C74C60" w:rsidP="008C3C24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  <w:t xml:space="preserve">     Dyrektor DPS „OPOKA”</w:t>
      </w:r>
    </w:p>
    <w:sectPr w:rsidR="00C74C60" w:rsidRPr="00DE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028C"/>
    <w:multiLevelType w:val="multilevel"/>
    <w:tmpl w:val="E7BE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B43C6"/>
    <w:multiLevelType w:val="hybridMultilevel"/>
    <w:tmpl w:val="DB168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9789">
    <w:abstractNumId w:val="1"/>
  </w:num>
  <w:num w:numId="2" w16cid:durableId="63205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C7"/>
    <w:rsid w:val="00077EAC"/>
    <w:rsid w:val="000E4AB8"/>
    <w:rsid w:val="0021157A"/>
    <w:rsid w:val="003306F6"/>
    <w:rsid w:val="003525C0"/>
    <w:rsid w:val="0045135C"/>
    <w:rsid w:val="00550D82"/>
    <w:rsid w:val="00664D29"/>
    <w:rsid w:val="006A283D"/>
    <w:rsid w:val="0072388B"/>
    <w:rsid w:val="008C3C24"/>
    <w:rsid w:val="008C56CA"/>
    <w:rsid w:val="008D0277"/>
    <w:rsid w:val="00973A9C"/>
    <w:rsid w:val="00980965"/>
    <w:rsid w:val="00983F48"/>
    <w:rsid w:val="00984DFC"/>
    <w:rsid w:val="009D39C2"/>
    <w:rsid w:val="00A10B53"/>
    <w:rsid w:val="00C367EC"/>
    <w:rsid w:val="00C74C60"/>
    <w:rsid w:val="00CC2CB0"/>
    <w:rsid w:val="00DE2E37"/>
    <w:rsid w:val="00DE2F08"/>
    <w:rsid w:val="00DF6A15"/>
    <w:rsid w:val="00E95BBA"/>
    <w:rsid w:val="00EC731B"/>
    <w:rsid w:val="00F420C7"/>
    <w:rsid w:val="00F6586B"/>
    <w:rsid w:val="00F77E8A"/>
    <w:rsid w:val="00FA25A2"/>
    <w:rsid w:val="00F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054E"/>
  <w15:chartTrackingRefBased/>
  <w15:docId w15:val="{907FE61D-FF20-4C80-B352-1E66B890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0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2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2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2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2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2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2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2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20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20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2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2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2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2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2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2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2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20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20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20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20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420C7"/>
    <w:pPr>
      <w:suppressLineNumbers/>
    </w:pPr>
  </w:style>
  <w:style w:type="table" w:styleId="Tabela-Siatka">
    <w:name w:val="Table Grid"/>
    <w:basedOn w:val="Standardowy"/>
    <w:uiPriority w:val="39"/>
    <w:rsid w:val="00F4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77E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xtbody">
    <w:name w:val="Text body"/>
    <w:basedOn w:val="Standard"/>
    <w:rsid w:val="00DE2E37"/>
    <w:pPr>
      <w:spacing w:after="120"/>
    </w:pPr>
  </w:style>
  <w:style w:type="character" w:styleId="Pogrubienie">
    <w:name w:val="Strong"/>
    <w:basedOn w:val="Domylnaczcionkaakapitu"/>
    <w:uiPriority w:val="22"/>
    <w:qFormat/>
    <w:rsid w:val="008C56CA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56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psp.gliwice.eu" TargetMode="Externa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1:33:37.0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12T11:33:33.08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 24575,'4'-4'0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Tomecka</dc:creator>
  <cp:keywords/>
  <dc:description/>
  <cp:lastModifiedBy>Anna Tomecka</cp:lastModifiedBy>
  <cp:revision>12</cp:revision>
  <cp:lastPrinted>2025-08-27T10:50:00Z</cp:lastPrinted>
  <dcterms:created xsi:type="dcterms:W3CDTF">2025-08-20T11:49:00Z</dcterms:created>
  <dcterms:modified xsi:type="dcterms:W3CDTF">2025-08-28T07:34:00Z</dcterms:modified>
</cp:coreProperties>
</file>