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93F04" w14:textId="5BB4DB19" w:rsidR="00845D4C" w:rsidRPr="00E15125" w:rsidRDefault="0091615F" w:rsidP="00845D4C">
      <w:pPr>
        <w:pStyle w:val="Standard"/>
        <w:rPr>
          <w:rFonts w:asciiTheme="majorHAnsi" w:eastAsia="Arial Unicode MS" w:hAnsiTheme="majorHAnsi" w:cstheme="majorHAnsi"/>
          <w:sz w:val="20"/>
          <w:szCs w:val="20"/>
        </w:rPr>
      </w:pPr>
      <w:r>
        <w:rPr>
          <w:rFonts w:asciiTheme="majorHAnsi" w:eastAsia="Arial Unicode MS" w:hAnsiTheme="majorHAnsi" w:cstheme="majorHAnsi"/>
          <w:sz w:val="20"/>
          <w:szCs w:val="20"/>
        </w:rPr>
        <w:t>Sprawa nr:</w:t>
      </w:r>
      <w:r w:rsidR="00845D4C" w:rsidRPr="00E15125">
        <w:rPr>
          <w:rFonts w:asciiTheme="majorHAnsi" w:eastAsia="Arial Unicode MS" w:hAnsiTheme="majorHAnsi" w:cstheme="majorHAnsi"/>
          <w:sz w:val="20"/>
          <w:szCs w:val="20"/>
        </w:rPr>
        <w:t>DPSP</w:t>
      </w:r>
      <w:r w:rsidR="00FE57C5" w:rsidRPr="00E15125">
        <w:rPr>
          <w:rFonts w:asciiTheme="majorHAnsi" w:eastAsia="Arial Unicode MS" w:hAnsiTheme="majorHAnsi" w:cstheme="majorHAnsi"/>
          <w:sz w:val="20"/>
          <w:szCs w:val="20"/>
        </w:rPr>
        <w:t>-AG.271.3.2025</w:t>
      </w:r>
    </w:p>
    <w:p w14:paraId="6F5A342B" w14:textId="78365680" w:rsidR="00E15125" w:rsidRPr="00E15125" w:rsidRDefault="00E15125" w:rsidP="00E15125">
      <w:pPr>
        <w:pStyle w:val="Standard"/>
        <w:rPr>
          <w:rFonts w:asciiTheme="majorHAnsi" w:hAnsiTheme="majorHAnsi" w:cstheme="majorHAnsi"/>
          <w:sz w:val="20"/>
          <w:szCs w:val="20"/>
        </w:rPr>
      </w:pPr>
      <w:r w:rsidRPr="00E15125">
        <w:rPr>
          <w:rFonts w:asciiTheme="majorHAnsi" w:hAnsiTheme="majorHAnsi" w:cstheme="majorHAnsi"/>
          <w:sz w:val="20"/>
          <w:szCs w:val="20"/>
        </w:rPr>
        <w:t>Kor. Nr.: DPSP.4</w:t>
      </w:r>
      <w:r w:rsidR="0091615F">
        <w:rPr>
          <w:rFonts w:asciiTheme="majorHAnsi" w:hAnsiTheme="majorHAnsi" w:cstheme="majorHAnsi"/>
          <w:sz w:val="20"/>
          <w:szCs w:val="20"/>
        </w:rPr>
        <w:t>279</w:t>
      </w:r>
      <w:r w:rsidRPr="00E15125">
        <w:rPr>
          <w:rFonts w:asciiTheme="majorHAnsi" w:hAnsiTheme="majorHAnsi" w:cstheme="majorHAnsi"/>
          <w:sz w:val="20"/>
          <w:szCs w:val="20"/>
        </w:rPr>
        <w:t>.2025</w:t>
      </w:r>
    </w:p>
    <w:p w14:paraId="4136D370" w14:textId="77777777" w:rsidR="00E15125" w:rsidRPr="00E15125" w:rsidRDefault="00E15125" w:rsidP="00845D4C">
      <w:pPr>
        <w:pStyle w:val="Standard"/>
        <w:rPr>
          <w:rFonts w:asciiTheme="majorHAnsi" w:eastAsia="Arial Unicode MS" w:hAnsiTheme="majorHAnsi" w:cstheme="majorHAnsi"/>
          <w:b/>
          <w:bCs/>
          <w:sz w:val="20"/>
          <w:szCs w:val="20"/>
        </w:rPr>
      </w:pPr>
    </w:p>
    <w:p w14:paraId="26233E9E" w14:textId="77777777" w:rsidR="00845D4C" w:rsidRPr="00E15125" w:rsidRDefault="00845D4C" w:rsidP="00845D4C">
      <w:pPr>
        <w:pStyle w:val="Standard"/>
        <w:jc w:val="center"/>
        <w:rPr>
          <w:rFonts w:asciiTheme="majorHAnsi" w:eastAsia="Arial Unicode MS" w:hAnsiTheme="majorHAnsi" w:cstheme="majorHAnsi"/>
          <w:sz w:val="20"/>
          <w:szCs w:val="20"/>
        </w:rPr>
      </w:pPr>
    </w:p>
    <w:p w14:paraId="3125F5C9" w14:textId="4DA6D482" w:rsidR="00845D4C" w:rsidRPr="00E15125" w:rsidRDefault="00845D4C" w:rsidP="00845D4C">
      <w:pPr>
        <w:pStyle w:val="Standard"/>
        <w:jc w:val="right"/>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Gliwice, dnia 1</w:t>
      </w:r>
      <w:r w:rsidR="006063F1" w:rsidRPr="00E15125">
        <w:rPr>
          <w:rFonts w:asciiTheme="majorHAnsi" w:eastAsia="Arial Unicode MS" w:hAnsiTheme="majorHAnsi" w:cstheme="majorHAnsi"/>
          <w:sz w:val="20"/>
          <w:szCs w:val="20"/>
        </w:rPr>
        <w:t>6</w:t>
      </w:r>
      <w:r w:rsidRPr="00E15125">
        <w:rPr>
          <w:rFonts w:asciiTheme="majorHAnsi" w:eastAsia="Arial Unicode MS" w:hAnsiTheme="majorHAnsi" w:cstheme="majorHAnsi"/>
          <w:sz w:val="20"/>
          <w:szCs w:val="20"/>
        </w:rPr>
        <w:t>.05.2025</w:t>
      </w:r>
    </w:p>
    <w:p w14:paraId="1852F750" w14:textId="77777777" w:rsidR="00845D4C" w:rsidRPr="00E15125" w:rsidRDefault="00845D4C" w:rsidP="00845D4C">
      <w:pPr>
        <w:pStyle w:val="Standard"/>
        <w:jc w:val="right"/>
        <w:rPr>
          <w:rFonts w:asciiTheme="majorHAnsi" w:eastAsia="Arial Unicode MS" w:hAnsiTheme="majorHAnsi" w:cstheme="majorHAnsi"/>
          <w:sz w:val="20"/>
          <w:szCs w:val="20"/>
        </w:rPr>
      </w:pPr>
    </w:p>
    <w:p w14:paraId="41E682FE" w14:textId="5A478F74" w:rsidR="00845D4C" w:rsidRPr="00E15125" w:rsidRDefault="00845D4C" w:rsidP="00845D4C">
      <w:pPr>
        <w:pStyle w:val="Standard"/>
        <w:jc w:val="center"/>
        <w:rPr>
          <w:rFonts w:asciiTheme="majorHAnsi" w:eastAsia="Arial Unicode MS" w:hAnsiTheme="majorHAnsi" w:cstheme="majorHAnsi"/>
          <w:b/>
          <w:sz w:val="20"/>
          <w:szCs w:val="20"/>
          <w:u w:val="single"/>
        </w:rPr>
      </w:pPr>
      <w:r w:rsidRPr="00E15125">
        <w:rPr>
          <w:rFonts w:asciiTheme="majorHAnsi" w:eastAsia="Arial Unicode MS" w:hAnsiTheme="majorHAnsi" w:cstheme="majorHAnsi"/>
          <w:b/>
          <w:noProof/>
          <w:sz w:val="20"/>
          <w:szCs w:val="20"/>
          <w:u w:val="single"/>
          <w14:ligatures w14:val="standardContextual"/>
        </w:rPr>
        <mc:AlternateContent>
          <mc:Choice Requires="wpi">
            <w:drawing>
              <wp:anchor distT="0" distB="0" distL="114300" distR="114300" simplePos="0" relativeHeight="251661312" behindDoc="0" locked="0" layoutInCell="1" allowOverlap="1" wp14:anchorId="06573880" wp14:editId="10137E7B">
                <wp:simplePos x="0" y="0"/>
                <wp:positionH relativeFrom="column">
                  <wp:posOffset>-2453625</wp:posOffset>
                </wp:positionH>
                <wp:positionV relativeFrom="paragraph">
                  <wp:posOffset>260760</wp:posOffset>
                </wp:positionV>
                <wp:extent cx="360" cy="360"/>
                <wp:effectExtent l="38100" t="38100" r="38100" b="38100"/>
                <wp:wrapNone/>
                <wp:docPr id="3844550" name="Pismo odręczne 6"/>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7ED19B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6" o:spid="_x0000_s1026" type="#_x0000_t75" style="position:absolute;margin-left:-193.7pt;margin-top:20.0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">
                <v:imagedata r:id="rId6" o:title=""/>
              </v:shape>
            </w:pict>
          </mc:Fallback>
        </mc:AlternateContent>
      </w:r>
      <w:r w:rsidRPr="00E15125">
        <w:rPr>
          <w:rFonts w:asciiTheme="majorHAnsi" w:eastAsia="Arial Unicode MS" w:hAnsiTheme="majorHAnsi" w:cstheme="majorHAnsi"/>
          <w:b/>
          <w:sz w:val="20"/>
          <w:szCs w:val="20"/>
          <w:u w:val="single"/>
        </w:rPr>
        <w:t>O G Ł O S Z E N I E</w:t>
      </w:r>
    </w:p>
    <w:p w14:paraId="433C1653" w14:textId="77777777" w:rsidR="00845D4C" w:rsidRPr="00E15125" w:rsidRDefault="00845D4C" w:rsidP="00845D4C">
      <w:pPr>
        <w:pStyle w:val="Standard"/>
        <w:jc w:val="right"/>
        <w:rPr>
          <w:rFonts w:asciiTheme="majorHAnsi" w:eastAsia="Arial Unicode MS" w:hAnsiTheme="majorHAnsi" w:cstheme="majorHAnsi"/>
          <w:sz w:val="20"/>
          <w:szCs w:val="20"/>
        </w:rPr>
      </w:pPr>
    </w:p>
    <w:p w14:paraId="73315600" w14:textId="77777777" w:rsidR="00845D4C" w:rsidRPr="00E15125" w:rsidRDefault="00845D4C" w:rsidP="00845D4C">
      <w:pPr>
        <w:pStyle w:val="Standard"/>
        <w:spacing w:line="360" w:lineRule="auto"/>
        <w:jc w:val="center"/>
        <w:rPr>
          <w:rFonts w:asciiTheme="majorHAnsi" w:eastAsia="Arial Unicode MS" w:hAnsiTheme="majorHAnsi" w:cstheme="majorHAnsi"/>
          <w:b/>
          <w:sz w:val="20"/>
          <w:szCs w:val="20"/>
        </w:rPr>
      </w:pPr>
      <w:r w:rsidRPr="00E15125">
        <w:rPr>
          <w:rFonts w:asciiTheme="majorHAnsi" w:eastAsia="Arial Unicode MS" w:hAnsiTheme="majorHAnsi" w:cstheme="majorHAnsi"/>
          <w:b/>
          <w:sz w:val="20"/>
          <w:szCs w:val="20"/>
        </w:rPr>
        <w:t xml:space="preserve">Dyrektor Domu Pomocy Społecznej „OPOKA” w Gliwicach </w:t>
      </w:r>
    </w:p>
    <w:p w14:paraId="46BD34C3" w14:textId="77777777" w:rsidR="00845D4C" w:rsidRPr="00E15125" w:rsidRDefault="00845D4C" w:rsidP="00845D4C">
      <w:pPr>
        <w:pStyle w:val="Standard"/>
        <w:spacing w:line="360" w:lineRule="auto"/>
        <w:jc w:val="center"/>
        <w:rPr>
          <w:rFonts w:asciiTheme="majorHAnsi" w:eastAsia="Arial Unicode MS" w:hAnsiTheme="majorHAnsi" w:cstheme="majorHAnsi"/>
          <w:b/>
          <w:sz w:val="20"/>
          <w:szCs w:val="20"/>
        </w:rPr>
      </w:pPr>
      <w:r w:rsidRPr="00E15125">
        <w:rPr>
          <w:rFonts w:asciiTheme="majorHAnsi" w:eastAsia="Arial Unicode MS" w:hAnsiTheme="majorHAnsi" w:cstheme="majorHAnsi"/>
          <w:b/>
          <w:sz w:val="20"/>
          <w:szCs w:val="20"/>
        </w:rPr>
        <w:t>44-100 Gliwice, ul. Pszczyńska 100</w:t>
      </w:r>
    </w:p>
    <w:p w14:paraId="639DF2EE" w14:textId="77777777" w:rsidR="00845D4C" w:rsidRPr="00E15125" w:rsidRDefault="00845D4C" w:rsidP="00845D4C">
      <w:pPr>
        <w:pStyle w:val="Standard"/>
        <w:spacing w:line="480" w:lineRule="auto"/>
        <w:jc w:val="center"/>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zawiadamia, iż w zapytaniu ofertowym pod nazwą</w:t>
      </w:r>
    </w:p>
    <w:p w14:paraId="413AAF8D" w14:textId="77777777" w:rsidR="00845D4C" w:rsidRPr="00E15125" w:rsidRDefault="00845D4C" w:rsidP="00845D4C">
      <w:pPr>
        <w:pStyle w:val="Standard"/>
        <w:jc w:val="both"/>
        <w:rPr>
          <w:rFonts w:asciiTheme="majorHAnsi" w:hAnsiTheme="majorHAnsi" w:cstheme="majorHAnsi"/>
          <w:b/>
          <w:bCs/>
          <w:sz w:val="20"/>
          <w:szCs w:val="20"/>
        </w:rPr>
      </w:pPr>
      <w:bookmarkStart w:id="0" w:name="_Hlk195525283"/>
      <w:r w:rsidRPr="00E15125">
        <w:rPr>
          <w:rFonts w:asciiTheme="majorHAnsi" w:hAnsiTheme="majorHAnsi" w:cstheme="majorHAnsi"/>
          <w:b/>
          <w:bCs/>
          <w:sz w:val="20"/>
          <w:szCs w:val="20"/>
        </w:rPr>
        <w:t xml:space="preserve">Prace remontowe polegające na: </w:t>
      </w:r>
      <w:r w:rsidRPr="00E15125">
        <w:rPr>
          <w:rFonts w:asciiTheme="majorHAnsi" w:hAnsiTheme="majorHAnsi" w:cstheme="majorHAnsi"/>
          <w:b/>
          <w:bCs/>
          <w:sz w:val="20"/>
          <w:szCs w:val="20"/>
          <w:u w:val="single"/>
        </w:rPr>
        <w:t>Remoncie łazienek w Domu Pomocy Społecznej „OPOKA”</w:t>
      </w:r>
      <w:bookmarkEnd w:id="0"/>
    </w:p>
    <w:p w14:paraId="057D52DD" w14:textId="77777777" w:rsidR="00845D4C" w:rsidRPr="00E15125" w:rsidRDefault="00845D4C" w:rsidP="00845D4C">
      <w:pPr>
        <w:pStyle w:val="Standard"/>
        <w:spacing w:line="480" w:lineRule="auto"/>
        <w:rPr>
          <w:rFonts w:asciiTheme="majorHAnsi" w:eastAsia="Arial Unicode MS" w:hAnsiTheme="majorHAnsi" w:cstheme="majorHAnsi"/>
          <w:sz w:val="20"/>
          <w:szCs w:val="20"/>
        </w:rPr>
      </w:pPr>
    </w:p>
    <w:p w14:paraId="33E0A44E" w14:textId="77777777" w:rsidR="00845D4C" w:rsidRPr="00E15125" w:rsidRDefault="00845D4C" w:rsidP="00845D4C">
      <w:pPr>
        <w:pStyle w:val="Standard"/>
        <w:spacing w:line="480" w:lineRule="auto"/>
        <w:rPr>
          <w:rFonts w:asciiTheme="majorHAnsi" w:eastAsia="Arial Unicode MS" w:hAnsiTheme="majorHAnsi" w:cstheme="majorHAnsi"/>
          <w:b/>
          <w:sz w:val="20"/>
          <w:szCs w:val="20"/>
          <w:u w:val="single"/>
        </w:rPr>
      </w:pPr>
      <w:r w:rsidRPr="00E15125">
        <w:rPr>
          <w:rFonts w:asciiTheme="majorHAnsi" w:eastAsia="Arial Unicode MS" w:hAnsiTheme="majorHAnsi" w:cstheme="majorHAnsi"/>
          <w:b/>
          <w:sz w:val="20"/>
          <w:szCs w:val="20"/>
          <w:u w:val="single"/>
        </w:rPr>
        <w:t>Wybrano ofertę Firmy:</w:t>
      </w:r>
    </w:p>
    <w:p w14:paraId="50F55586" w14:textId="1EE5BFE0" w:rsidR="00845D4C" w:rsidRPr="00E15125" w:rsidRDefault="00FE57C5" w:rsidP="00FE57C5">
      <w:pPr>
        <w:pStyle w:val="Standard"/>
        <w:numPr>
          <w:ilvl w:val="0"/>
          <w:numId w:val="3"/>
        </w:numPr>
        <w:spacing w:line="480" w:lineRule="auto"/>
        <w:rPr>
          <w:rFonts w:asciiTheme="majorHAnsi" w:eastAsia="Arial Unicode MS" w:hAnsiTheme="majorHAnsi" w:cstheme="majorHAnsi"/>
          <w:b/>
          <w:bCs/>
          <w:sz w:val="20"/>
          <w:szCs w:val="20"/>
        </w:rPr>
      </w:pPr>
      <w:r w:rsidRPr="00E15125">
        <w:rPr>
          <w:rFonts w:asciiTheme="majorHAnsi" w:eastAsia="Arial Unicode MS" w:hAnsiTheme="majorHAnsi" w:cstheme="majorHAnsi"/>
          <w:b/>
          <w:bCs/>
          <w:sz w:val="20"/>
          <w:szCs w:val="20"/>
        </w:rPr>
        <w:t>ZUH G.K.Ł RUDA 44-100 Gliwice, ul. Bernardyńska 56</w:t>
      </w:r>
    </w:p>
    <w:p w14:paraId="6EDED5F6" w14:textId="77777777" w:rsidR="00845D4C" w:rsidRPr="00E15125" w:rsidRDefault="00845D4C" w:rsidP="00845D4C">
      <w:pPr>
        <w:pStyle w:val="TableContents"/>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Wybrana oferta uzyskała największą liczbę punktów - 100 pkt (70 pkt w kryterium "cena", 30 pkt</w:t>
      </w:r>
    </w:p>
    <w:p w14:paraId="75C327DD" w14:textId="77777777" w:rsidR="00845D4C" w:rsidRPr="00E15125" w:rsidRDefault="00845D4C" w:rsidP="00845D4C">
      <w:pPr>
        <w:pStyle w:val="TableContents"/>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w kryterium "Gwarancja i rękojmia", jest zgodna z treścią ogłoszenia i zapytaniem ofertowym.</w:t>
      </w:r>
    </w:p>
    <w:p w14:paraId="5ADD3FE5" w14:textId="77777777" w:rsidR="00845D4C" w:rsidRPr="00E15125" w:rsidRDefault="00845D4C" w:rsidP="00845D4C">
      <w:pPr>
        <w:pStyle w:val="Standard"/>
        <w:spacing w:line="360" w:lineRule="auto"/>
        <w:rPr>
          <w:rFonts w:asciiTheme="majorHAnsi" w:eastAsia="MS Mincho" w:hAnsiTheme="majorHAnsi" w:cstheme="majorHAnsi"/>
          <w:sz w:val="20"/>
          <w:szCs w:val="20"/>
        </w:rPr>
      </w:pPr>
      <w:r w:rsidRPr="00E15125">
        <w:rPr>
          <w:rFonts w:asciiTheme="majorHAnsi" w:eastAsia="MS Mincho" w:hAnsiTheme="majorHAnsi" w:cstheme="majorHAnsi"/>
          <w:sz w:val="20"/>
          <w:szCs w:val="20"/>
        </w:rPr>
        <w:t>Wybrana oferta spełnia wymagania Zamawiającego.</w:t>
      </w:r>
    </w:p>
    <w:p w14:paraId="2D8D30EF" w14:textId="5E716062" w:rsidR="00845D4C" w:rsidRPr="00E15125" w:rsidRDefault="00845D4C" w:rsidP="00845D4C">
      <w:pPr>
        <w:pStyle w:val="Standard"/>
        <w:spacing w:line="480" w:lineRule="auto"/>
        <w:rPr>
          <w:rFonts w:asciiTheme="majorHAnsi" w:eastAsia="Arial Unicode MS" w:hAnsiTheme="majorHAnsi" w:cstheme="majorHAnsi"/>
          <w:sz w:val="20"/>
          <w:szCs w:val="20"/>
          <w:u w:val="single"/>
        </w:rPr>
      </w:pPr>
      <w:r w:rsidRPr="00E15125">
        <w:rPr>
          <w:rFonts w:asciiTheme="majorHAnsi" w:eastAsia="Arial Unicode MS" w:hAnsiTheme="majorHAnsi" w:cstheme="majorHAnsi"/>
          <w:noProof/>
          <w:sz w:val="20"/>
          <w:szCs w:val="20"/>
          <w:u w:val="single"/>
          <w14:ligatures w14:val="standardContextual"/>
        </w:rPr>
        <mc:AlternateContent>
          <mc:Choice Requires="wpi">
            <w:drawing>
              <wp:anchor distT="0" distB="0" distL="114300" distR="114300" simplePos="0" relativeHeight="251660288" behindDoc="0" locked="0" layoutInCell="1" allowOverlap="1" wp14:anchorId="05B285B2" wp14:editId="4D6E7C32">
                <wp:simplePos x="0" y="0"/>
                <wp:positionH relativeFrom="column">
                  <wp:posOffset>2299455</wp:posOffset>
                </wp:positionH>
                <wp:positionV relativeFrom="paragraph">
                  <wp:posOffset>303350</wp:posOffset>
                </wp:positionV>
                <wp:extent cx="1800" cy="1800"/>
                <wp:effectExtent l="38100" t="38100" r="36830" b="36830"/>
                <wp:wrapNone/>
                <wp:docPr id="1384521861" name="Pismo odręczne 5"/>
                <wp:cNvGraphicFramePr/>
                <a:graphic xmlns:a="http://schemas.openxmlformats.org/drawingml/2006/main">
                  <a:graphicData uri="http://schemas.microsoft.com/office/word/2010/wordprocessingInk">
                    <w14:contentPart bwMode="auto" r:id="rId7">
                      <w14:nvContentPartPr>
                        <w14:cNvContentPartPr/>
                      </w14:nvContentPartPr>
                      <w14:xfrm>
                        <a:off x="0" y="0"/>
                        <a:ext cx="1800" cy="1800"/>
                      </w14:xfrm>
                    </w14:contentPart>
                  </a:graphicData>
                </a:graphic>
              </wp:anchor>
            </w:drawing>
          </mc:Choice>
          <mc:Fallback>
            <w:pict>
              <v:shape w14:anchorId="3BF5546A" id="Pismo odręczne 5" o:spid="_x0000_s1026" type="#_x0000_t75" style="position:absolute;margin-left:180.55pt;margin-top:23.4pt;width:1.15pt;height:1.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">
                <v:imagedata r:id="rId6" o:title=""/>
              </v:shape>
            </w:pict>
          </mc:Fallback>
        </mc:AlternateContent>
      </w:r>
      <w:r w:rsidRPr="00E15125">
        <w:rPr>
          <w:rFonts w:asciiTheme="majorHAnsi" w:eastAsia="Arial Unicode MS" w:hAnsiTheme="majorHAnsi" w:cstheme="majorHAnsi"/>
          <w:sz w:val="20"/>
          <w:szCs w:val="20"/>
          <w:u w:val="single"/>
        </w:rPr>
        <w:t>Zostały złożone następujące oferty :</w:t>
      </w:r>
    </w:p>
    <w:tbl>
      <w:tblPr>
        <w:tblStyle w:val="Tabela-Siatka"/>
        <w:tblW w:w="0" w:type="auto"/>
        <w:tblLook w:val="04A0" w:firstRow="1" w:lastRow="0" w:firstColumn="1" w:lastColumn="0" w:noHBand="0" w:noVBand="1"/>
      </w:tblPr>
      <w:tblGrid>
        <w:gridCol w:w="517"/>
        <w:gridCol w:w="4581"/>
        <w:gridCol w:w="1560"/>
        <w:gridCol w:w="1417"/>
        <w:gridCol w:w="1553"/>
      </w:tblGrid>
      <w:tr w:rsidR="00845D4C" w:rsidRPr="00E15125" w14:paraId="59B59A43" w14:textId="77777777" w:rsidTr="00410322">
        <w:tc>
          <w:tcPr>
            <w:tcW w:w="517" w:type="dxa"/>
          </w:tcPr>
          <w:p w14:paraId="3DA05158" w14:textId="43116AC0" w:rsidR="00845D4C" w:rsidRPr="00E15125" w:rsidRDefault="00845D4C" w:rsidP="00845D4C">
            <w:pPr>
              <w:pStyle w:val="Standard"/>
              <w:spacing w:line="480" w:lineRule="auto"/>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Lp.</w:t>
            </w:r>
          </w:p>
        </w:tc>
        <w:tc>
          <w:tcPr>
            <w:tcW w:w="4581" w:type="dxa"/>
          </w:tcPr>
          <w:p w14:paraId="4A5D6BF1" w14:textId="198A1DE1" w:rsidR="00845D4C" w:rsidRPr="00E15125" w:rsidRDefault="00845D4C" w:rsidP="00FE57C5">
            <w:pPr>
              <w:pStyle w:val="Standard"/>
              <w:spacing w:line="480" w:lineRule="auto"/>
              <w:jc w:val="center"/>
              <w:rPr>
                <w:rFonts w:asciiTheme="majorHAnsi" w:eastAsia="Arial Unicode MS" w:hAnsiTheme="majorHAnsi" w:cstheme="majorHAnsi"/>
                <w:b/>
                <w:bCs/>
                <w:sz w:val="20"/>
                <w:szCs w:val="20"/>
              </w:rPr>
            </w:pPr>
            <w:r w:rsidRPr="00E15125">
              <w:rPr>
                <w:rFonts w:asciiTheme="majorHAnsi" w:eastAsia="Arial Unicode MS" w:hAnsiTheme="majorHAnsi" w:cstheme="majorHAnsi"/>
                <w:b/>
                <w:bCs/>
                <w:sz w:val="20"/>
                <w:szCs w:val="20"/>
              </w:rPr>
              <w:t>Nazwa i adres Wykonawcy</w:t>
            </w:r>
          </w:p>
        </w:tc>
        <w:tc>
          <w:tcPr>
            <w:tcW w:w="1560" w:type="dxa"/>
          </w:tcPr>
          <w:p w14:paraId="7D02E79F" w14:textId="2F04CF5E" w:rsidR="00845D4C" w:rsidRPr="00E15125" w:rsidRDefault="00845D4C" w:rsidP="00FE57C5">
            <w:pPr>
              <w:pStyle w:val="Standard"/>
              <w:spacing w:line="480" w:lineRule="auto"/>
              <w:jc w:val="center"/>
              <w:rPr>
                <w:rFonts w:asciiTheme="majorHAnsi" w:eastAsia="Arial Unicode MS" w:hAnsiTheme="majorHAnsi" w:cstheme="majorHAnsi"/>
                <w:b/>
                <w:bCs/>
                <w:sz w:val="20"/>
                <w:szCs w:val="20"/>
              </w:rPr>
            </w:pPr>
            <w:r w:rsidRPr="00E15125">
              <w:rPr>
                <w:rFonts w:asciiTheme="majorHAnsi" w:eastAsia="Arial Unicode MS" w:hAnsiTheme="majorHAnsi" w:cstheme="majorHAnsi"/>
                <w:b/>
                <w:bCs/>
                <w:sz w:val="20"/>
                <w:szCs w:val="20"/>
              </w:rPr>
              <w:t>Kryterium cena</w:t>
            </w:r>
          </w:p>
        </w:tc>
        <w:tc>
          <w:tcPr>
            <w:tcW w:w="1417" w:type="dxa"/>
          </w:tcPr>
          <w:p w14:paraId="0EDA6001" w14:textId="77777777" w:rsidR="00845D4C" w:rsidRPr="00E15125" w:rsidRDefault="00845D4C" w:rsidP="00FE57C5">
            <w:pPr>
              <w:pStyle w:val="TableContents"/>
              <w:jc w:val="center"/>
              <w:rPr>
                <w:rFonts w:asciiTheme="majorHAnsi" w:hAnsiTheme="majorHAnsi" w:cstheme="majorHAnsi"/>
                <w:b/>
                <w:bCs/>
                <w:sz w:val="20"/>
                <w:szCs w:val="20"/>
              </w:rPr>
            </w:pPr>
            <w:r w:rsidRPr="00E15125">
              <w:rPr>
                <w:rFonts w:asciiTheme="majorHAnsi" w:hAnsiTheme="majorHAnsi" w:cstheme="majorHAnsi"/>
                <w:b/>
                <w:bCs/>
                <w:sz w:val="20"/>
                <w:szCs w:val="20"/>
              </w:rPr>
              <w:t>Kryterium g</w:t>
            </w:r>
            <w:r w:rsidRPr="00E15125">
              <w:rPr>
                <w:rFonts w:asciiTheme="majorHAnsi" w:eastAsia="Arial Unicode MS" w:hAnsiTheme="majorHAnsi" w:cstheme="majorHAnsi"/>
                <w:b/>
                <w:bCs/>
                <w:sz w:val="20"/>
                <w:szCs w:val="20"/>
              </w:rPr>
              <w:t>warancja</w:t>
            </w:r>
          </w:p>
          <w:p w14:paraId="6AA1AD40" w14:textId="77777777" w:rsidR="00845D4C" w:rsidRPr="00E15125" w:rsidRDefault="00845D4C" w:rsidP="00FE57C5">
            <w:pPr>
              <w:pStyle w:val="TableContents"/>
              <w:jc w:val="center"/>
              <w:rPr>
                <w:rFonts w:asciiTheme="majorHAnsi" w:eastAsia="Arial Unicode MS" w:hAnsiTheme="majorHAnsi" w:cstheme="majorHAnsi"/>
                <w:b/>
                <w:bCs/>
                <w:sz w:val="20"/>
                <w:szCs w:val="20"/>
              </w:rPr>
            </w:pPr>
            <w:r w:rsidRPr="00E15125">
              <w:rPr>
                <w:rFonts w:asciiTheme="majorHAnsi" w:eastAsia="Arial Unicode MS" w:hAnsiTheme="majorHAnsi" w:cstheme="majorHAnsi"/>
                <w:b/>
                <w:bCs/>
                <w:sz w:val="20"/>
                <w:szCs w:val="20"/>
              </w:rPr>
              <w:t>i rękojmia</w:t>
            </w:r>
          </w:p>
          <w:p w14:paraId="737CAE41" w14:textId="77777777" w:rsidR="00845D4C" w:rsidRPr="00E15125" w:rsidRDefault="00845D4C" w:rsidP="00FE57C5">
            <w:pPr>
              <w:pStyle w:val="Standard"/>
              <w:spacing w:line="480" w:lineRule="auto"/>
              <w:jc w:val="center"/>
              <w:rPr>
                <w:rFonts w:asciiTheme="majorHAnsi" w:eastAsia="Arial Unicode MS" w:hAnsiTheme="majorHAnsi" w:cstheme="majorHAnsi"/>
                <w:b/>
                <w:bCs/>
                <w:sz w:val="20"/>
                <w:szCs w:val="20"/>
              </w:rPr>
            </w:pPr>
          </w:p>
        </w:tc>
        <w:tc>
          <w:tcPr>
            <w:tcW w:w="1553" w:type="dxa"/>
          </w:tcPr>
          <w:p w14:paraId="1135D83F" w14:textId="6B552FFC" w:rsidR="00845D4C" w:rsidRPr="00E15125" w:rsidRDefault="00845D4C" w:rsidP="00FE57C5">
            <w:pPr>
              <w:pStyle w:val="Standard"/>
              <w:spacing w:line="480" w:lineRule="auto"/>
              <w:jc w:val="center"/>
              <w:rPr>
                <w:rFonts w:asciiTheme="majorHAnsi" w:eastAsia="Arial Unicode MS" w:hAnsiTheme="majorHAnsi" w:cstheme="majorHAnsi"/>
                <w:b/>
                <w:bCs/>
                <w:sz w:val="20"/>
                <w:szCs w:val="20"/>
              </w:rPr>
            </w:pPr>
            <w:r w:rsidRPr="00E15125">
              <w:rPr>
                <w:rFonts w:asciiTheme="majorHAnsi" w:hAnsiTheme="majorHAnsi" w:cstheme="majorHAnsi"/>
                <w:b/>
                <w:bCs/>
                <w:sz w:val="20"/>
                <w:szCs w:val="20"/>
              </w:rPr>
              <w:t>Łączna punktacja</w:t>
            </w:r>
          </w:p>
        </w:tc>
      </w:tr>
      <w:tr w:rsidR="00845D4C" w:rsidRPr="00E15125" w14:paraId="5FA6D900" w14:textId="77777777" w:rsidTr="00410322">
        <w:tc>
          <w:tcPr>
            <w:tcW w:w="517" w:type="dxa"/>
          </w:tcPr>
          <w:p w14:paraId="26EBF114" w14:textId="5AD8FC58" w:rsidR="00845D4C" w:rsidRPr="00E15125" w:rsidRDefault="00410322" w:rsidP="00845D4C">
            <w:pPr>
              <w:pStyle w:val="Standard"/>
              <w:spacing w:line="480" w:lineRule="auto"/>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1</w:t>
            </w:r>
          </w:p>
        </w:tc>
        <w:tc>
          <w:tcPr>
            <w:tcW w:w="4581" w:type="dxa"/>
          </w:tcPr>
          <w:p w14:paraId="0923C056" w14:textId="77777777" w:rsidR="00845D4C" w:rsidRPr="00E15125" w:rsidRDefault="00410322" w:rsidP="00845D4C">
            <w:pPr>
              <w:pStyle w:val="Standard"/>
              <w:spacing w:line="480" w:lineRule="auto"/>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ZUH G.K.Ł RUDA</w:t>
            </w:r>
          </w:p>
          <w:p w14:paraId="448C65F4" w14:textId="5BCD0F6B" w:rsidR="00410322" w:rsidRPr="00E15125" w:rsidRDefault="00410322" w:rsidP="00845D4C">
            <w:pPr>
              <w:pStyle w:val="Standard"/>
              <w:spacing w:line="480" w:lineRule="auto"/>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44-100 Gliwice, ul. Bernardyńska 56</w:t>
            </w:r>
          </w:p>
        </w:tc>
        <w:tc>
          <w:tcPr>
            <w:tcW w:w="1560" w:type="dxa"/>
          </w:tcPr>
          <w:p w14:paraId="59302BBD" w14:textId="0E8211BE" w:rsidR="00845D4C" w:rsidRPr="00E15125" w:rsidRDefault="00410322" w:rsidP="00510290">
            <w:pPr>
              <w:pStyle w:val="Standard"/>
              <w:spacing w:line="480" w:lineRule="auto"/>
              <w:jc w:val="right"/>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70</w:t>
            </w:r>
            <w:r w:rsidR="00510290" w:rsidRPr="00E15125">
              <w:rPr>
                <w:rFonts w:asciiTheme="majorHAnsi" w:eastAsia="Arial Unicode MS" w:hAnsiTheme="majorHAnsi" w:cstheme="majorHAnsi"/>
                <w:sz w:val="20"/>
                <w:szCs w:val="20"/>
              </w:rPr>
              <w:t>,00</w:t>
            </w:r>
          </w:p>
        </w:tc>
        <w:tc>
          <w:tcPr>
            <w:tcW w:w="1417" w:type="dxa"/>
          </w:tcPr>
          <w:p w14:paraId="280AD34B" w14:textId="7441ABFB" w:rsidR="00845D4C" w:rsidRPr="00E15125" w:rsidRDefault="00410322" w:rsidP="00510290">
            <w:pPr>
              <w:pStyle w:val="Standard"/>
              <w:spacing w:line="480" w:lineRule="auto"/>
              <w:jc w:val="right"/>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30</w:t>
            </w:r>
            <w:r w:rsidR="00510290" w:rsidRPr="00E15125">
              <w:rPr>
                <w:rFonts w:asciiTheme="majorHAnsi" w:eastAsia="Arial Unicode MS" w:hAnsiTheme="majorHAnsi" w:cstheme="majorHAnsi"/>
                <w:sz w:val="20"/>
                <w:szCs w:val="20"/>
              </w:rPr>
              <w:t>,00</w:t>
            </w:r>
          </w:p>
        </w:tc>
        <w:tc>
          <w:tcPr>
            <w:tcW w:w="1553" w:type="dxa"/>
          </w:tcPr>
          <w:p w14:paraId="4258B1B9" w14:textId="239F344E" w:rsidR="00845D4C" w:rsidRPr="00E15125" w:rsidRDefault="00410322" w:rsidP="00510290">
            <w:pPr>
              <w:pStyle w:val="Standard"/>
              <w:spacing w:line="480" w:lineRule="auto"/>
              <w:jc w:val="right"/>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100</w:t>
            </w:r>
            <w:r w:rsidR="00510290" w:rsidRPr="00E15125">
              <w:rPr>
                <w:rFonts w:asciiTheme="majorHAnsi" w:eastAsia="Arial Unicode MS" w:hAnsiTheme="majorHAnsi" w:cstheme="majorHAnsi"/>
                <w:sz w:val="20"/>
                <w:szCs w:val="20"/>
              </w:rPr>
              <w:t>,00</w:t>
            </w:r>
          </w:p>
        </w:tc>
      </w:tr>
      <w:tr w:rsidR="00845D4C" w:rsidRPr="00E15125" w14:paraId="5DC61AE6" w14:textId="77777777" w:rsidTr="00410322">
        <w:tc>
          <w:tcPr>
            <w:tcW w:w="517" w:type="dxa"/>
          </w:tcPr>
          <w:p w14:paraId="1EDFCA31" w14:textId="50F71F13" w:rsidR="00845D4C" w:rsidRPr="00E15125" w:rsidRDefault="00410322" w:rsidP="00845D4C">
            <w:pPr>
              <w:pStyle w:val="Standard"/>
              <w:spacing w:line="480" w:lineRule="auto"/>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2</w:t>
            </w:r>
          </w:p>
        </w:tc>
        <w:tc>
          <w:tcPr>
            <w:tcW w:w="4581" w:type="dxa"/>
          </w:tcPr>
          <w:p w14:paraId="7B35B3E5" w14:textId="77777777" w:rsidR="00845D4C" w:rsidRPr="00E15125" w:rsidRDefault="00410322" w:rsidP="00845D4C">
            <w:pPr>
              <w:pStyle w:val="Standard"/>
              <w:spacing w:line="480" w:lineRule="auto"/>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Przedsiębiorstwo Budowlano – Usługowe A-M</w:t>
            </w:r>
          </w:p>
          <w:p w14:paraId="0A5C7094" w14:textId="20338F0D" w:rsidR="00410322" w:rsidRPr="00E15125" w:rsidRDefault="00410322" w:rsidP="00845D4C">
            <w:pPr>
              <w:pStyle w:val="Standard"/>
              <w:spacing w:line="480" w:lineRule="auto"/>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41-500 Chorzów, ul. Składowa 17 lok. Nr 2</w:t>
            </w:r>
          </w:p>
        </w:tc>
        <w:tc>
          <w:tcPr>
            <w:tcW w:w="1560" w:type="dxa"/>
          </w:tcPr>
          <w:p w14:paraId="175788C7" w14:textId="53AE9975" w:rsidR="00845D4C" w:rsidRPr="00E15125" w:rsidRDefault="00410322" w:rsidP="00510290">
            <w:pPr>
              <w:pStyle w:val="Standard"/>
              <w:spacing w:line="480" w:lineRule="auto"/>
              <w:jc w:val="right"/>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63,59</w:t>
            </w:r>
          </w:p>
        </w:tc>
        <w:tc>
          <w:tcPr>
            <w:tcW w:w="1417" w:type="dxa"/>
          </w:tcPr>
          <w:p w14:paraId="1426F7D0" w14:textId="16801077" w:rsidR="00845D4C" w:rsidRPr="00E15125" w:rsidRDefault="00410322" w:rsidP="00510290">
            <w:pPr>
              <w:pStyle w:val="Standard"/>
              <w:spacing w:line="480" w:lineRule="auto"/>
              <w:jc w:val="right"/>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30</w:t>
            </w:r>
            <w:r w:rsidR="00510290" w:rsidRPr="00E15125">
              <w:rPr>
                <w:rFonts w:asciiTheme="majorHAnsi" w:eastAsia="Arial Unicode MS" w:hAnsiTheme="majorHAnsi" w:cstheme="majorHAnsi"/>
                <w:sz w:val="20"/>
                <w:szCs w:val="20"/>
              </w:rPr>
              <w:t>,00</w:t>
            </w:r>
          </w:p>
        </w:tc>
        <w:tc>
          <w:tcPr>
            <w:tcW w:w="1553" w:type="dxa"/>
          </w:tcPr>
          <w:p w14:paraId="35FD9EE9" w14:textId="17D4BE68" w:rsidR="00845D4C" w:rsidRPr="00E15125" w:rsidRDefault="00410322" w:rsidP="00510290">
            <w:pPr>
              <w:pStyle w:val="Standard"/>
              <w:spacing w:line="480" w:lineRule="auto"/>
              <w:jc w:val="right"/>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93,59</w:t>
            </w:r>
          </w:p>
        </w:tc>
      </w:tr>
      <w:tr w:rsidR="00845D4C" w:rsidRPr="00E15125" w14:paraId="3841CE3B" w14:textId="77777777" w:rsidTr="00410322">
        <w:tc>
          <w:tcPr>
            <w:tcW w:w="517" w:type="dxa"/>
          </w:tcPr>
          <w:p w14:paraId="1402C39F" w14:textId="337005DA" w:rsidR="00845D4C" w:rsidRPr="00E15125" w:rsidRDefault="00410322" w:rsidP="00845D4C">
            <w:pPr>
              <w:pStyle w:val="Standard"/>
              <w:spacing w:line="480" w:lineRule="auto"/>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3</w:t>
            </w:r>
          </w:p>
        </w:tc>
        <w:tc>
          <w:tcPr>
            <w:tcW w:w="4581" w:type="dxa"/>
          </w:tcPr>
          <w:p w14:paraId="075717EC" w14:textId="77777777" w:rsidR="00845D4C" w:rsidRPr="00E15125" w:rsidRDefault="00410322" w:rsidP="00845D4C">
            <w:pPr>
              <w:pStyle w:val="Standard"/>
              <w:spacing w:line="480" w:lineRule="auto"/>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PRAGMATIC Sp. z o.o.</w:t>
            </w:r>
          </w:p>
          <w:p w14:paraId="49176AFA" w14:textId="40962A25" w:rsidR="00410322" w:rsidRPr="00E15125" w:rsidRDefault="00410322" w:rsidP="00845D4C">
            <w:pPr>
              <w:pStyle w:val="Standard"/>
              <w:spacing w:line="480" w:lineRule="auto"/>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40-393 Katowice, ul. Krakowska 201</w:t>
            </w:r>
          </w:p>
        </w:tc>
        <w:tc>
          <w:tcPr>
            <w:tcW w:w="1560" w:type="dxa"/>
          </w:tcPr>
          <w:p w14:paraId="226FC5D9" w14:textId="5BBADE9B" w:rsidR="00845D4C" w:rsidRPr="00E15125" w:rsidRDefault="00410322" w:rsidP="00510290">
            <w:pPr>
              <w:pStyle w:val="Standard"/>
              <w:spacing w:line="480" w:lineRule="auto"/>
              <w:jc w:val="right"/>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32,63</w:t>
            </w:r>
          </w:p>
        </w:tc>
        <w:tc>
          <w:tcPr>
            <w:tcW w:w="1417" w:type="dxa"/>
          </w:tcPr>
          <w:p w14:paraId="3505E52F" w14:textId="663D45F7" w:rsidR="00845D4C" w:rsidRPr="00E15125" w:rsidRDefault="00410322" w:rsidP="00510290">
            <w:pPr>
              <w:pStyle w:val="Standard"/>
              <w:spacing w:line="480" w:lineRule="auto"/>
              <w:jc w:val="right"/>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18</w:t>
            </w:r>
            <w:r w:rsidR="00510290" w:rsidRPr="00E15125">
              <w:rPr>
                <w:rFonts w:asciiTheme="majorHAnsi" w:eastAsia="Arial Unicode MS" w:hAnsiTheme="majorHAnsi" w:cstheme="majorHAnsi"/>
                <w:sz w:val="20"/>
                <w:szCs w:val="20"/>
              </w:rPr>
              <w:t>,00</w:t>
            </w:r>
          </w:p>
        </w:tc>
        <w:tc>
          <w:tcPr>
            <w:tcW w:w="1553" w:type="dxa"/>
          </w:tcPr>
          <w:p w14:paraId="3E35FD43" w14:textId="333D91B4" w:rsidR="00845D4C" w:rsidRPr="00E15125" w:rsidRDefault="00410322" w:rsidP="00510290">
            <w:pPr>
              <w:pStyle w:val="Standard"/>
              <w:spacing w:line="480" w:lineRule="auto"/>
              <w:jc w:val="right"/>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50,63</w:t>
            </w:r>
          </w:p>
        </w:tc>
      </w:tr>
      <w:tr w:rsidR="00F97977" w:rsidRPr="00E15125" w14:paraId="25C5822C" w14:textId="77777777" w:rsidTr="00401A22">
        <w:tc>
          <w:tcPr>
            <w:tcW w:w="9628" w:type="dxa"/>
            <w:gridSpan w:val="5"/>
          </w:tcPr>
          <w:p w14:paraId="48B01294" w14:textId="5FDE9D90" w:rsidR="00F97977" w:rsidRPr="00E15125" w:rsidRDefault="00F97977" w:rsidP="00F97977">
            <w:pPr>
              <w:pStyle w:val="Standard"/>
              <w:spacing w:line="480" w:lineRule="auto"/>
              <w:jc w:val="center"/>
              <w:rPr>
                <w:rFonts w:asciiTheme="majorHAnsi" w:eastAsia="Arial Unicode MS" w:hAnsiTheme="majorHAnsi" w:cstheme="majorHAnsi"/>
                <w:b/>
                <w:bCs/>
                <w:sz w:val="20"/>
                <w:szCs w:val="20"/>
              </w:rPr>
            </w:pPr>
            <w:r w:rsidRPr="00E15125">
              <w:rPr>
                <w:rFonts w:asciiTheme="majorHAnsi" w:eastAsia="Arial Unicode MS" w:hAnsiTheme="majorHAnsi" w:cstheme="majorHAnsi"/>
                <w:b/>
                <w:bCs/>
                <w:sz w:val="20"/>
                <w:szCs w:val="20"/>
              </w:rPr>
              <w:t>Oferta odrzucona</w:t>
            </w:r>
          </w:p>
        </w:tc>
      </w:tr>
      <w:tr w:rsidR="00845D4C" w:rsidRPr="00E15125" w14:paraId="1CFDF3E7" w14:textId="77777777" w:rsidTr="00410322">
        <w:tc>
          <w:tcPr>
            <w:tcW w:w="517" w:type="dxa"/>
          </w:tcPr>
          <w:p w14:paraId="4F916D92" w14:textId="59E21391" w:rsidR="00845D4C" w:rsidRPr="00E15125" w:rsidRDefault="00F97977" w:rsidP="00845D4C">
            <w:pPr>
              <w:pStyle w:val="Standard"/>
              <w:spacing w:line="480" w:lineRule="auto"/>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1</w:t>
            </w:r>
          </w:p>
        </w:tc>
        <w:tc>
          <w:tcPr>
            <w:tcW w:w="4581" w:type="dxa"/>
          </w:tcPr>
          <w:p w14:paraId="41DE6344" w14:textId="044D2D1E" w:rsidR="00845D4C" w:rsidRPr="00E15125" w:rsidRDefault="00410322" w:rsidP="00845D4C">
            <w:pPr>
              <w:pStyle w:val="Standard"/>
              <w:spacing w:line="480" w:lineRule="auto"/>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 xml:space="preserve">Filip </w:t>
            </w:r>
            <w:proofErr w:type="spellStart"/>
            <w:r w:rsidRPr="00E15125">
              <w:rPr>
                <w:rFonts w:asciiTheme="majorHAnsi" w:eastAsia="Arial Unicode MS" w:hAnsiTheme="majorHAnsi" w:cstheme="majorHAnsi"/>
                <w:sz w:val="20"/>
                <w:szCs w:val="20"/>
              </w:rPr>
              <w:t>Baldy</w:t>
            </w:r>
            <w:proofErr w:type="spellEnd"/>
            <w:r w:rsidRPr="00E15125">
              <w:rPr>
                <w:rFonts w:asciiTheme="majorHAnsi" w:eastAsia="Arial Unicode MS" w:hAnsiTheme="majorHAnsi" w:cstheme="majorHAnsi"/>
                <w:sz w:val="20"/>
                <w:szCs w:val="20"/>
              </w:rPr>
              <w:t xml:space="preserve"> INDUSTRIES</w:t>
            </w:r>
          </w:p>
          <w:p w14:paraId="19256677" w14:textId="6097122A" w:rsidR="00410322" w:rsidRPr="00E15125" w:rsidRDefault="00410322" w:rsidP="00845D4C">
            <w:pPr>
              <w:pStyle w:val="Standard"/>
              <w:spacing w:line="480" w:lineRule="auto"/>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41-500 Chorzów, ul. Strzelców Bytomskich 16/1</w:t>
            </w:r>
          </w:p>
        </w:tc>
        <w:tc>
          <w:tcPr>
            <w:tcW w:w="1560" w:type="dxa"/>
          </w:tcPr>
          <w:p w14:paraId="4AD89056" w14:textId="35314B5D" w:rsidR="00845D4C" w:rsidRPr="00E15125" w:rsidRDefault="00410322" w:rsidP="00510290">
            <w:pPr>
              <w:pStyle w:val="Standard"/>
              <w:spacing w:line="480" w:lineRule="auto"/>
              <w:jc w:val="right"/>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0,00</w:t>
            </w:r>
          </w:p>
        </w:tc>
        <w:tc>
          <w:tcPr>
            <w:tcW w:w="1417" w:type="dxa"/>
          </w:tcPr>
          <w:p w14:paraId="71261A6A" w14:textId="4301F202" w:rsidR="00845D4C" w:rsidRPr="00E15125" w:rsidRDefault="00410322" w:rsidP="00510290">
            <w:pPr>
              <w:pStyle w:val="Standard"/>
              <w:spacing w:line="480" w:lineRule="auto"/>
              <w:jc w:val="right"/>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0,00</w:t>
            </w:r>
          </w:p>
        </w:tc>
        <w:tc>
          <w:tcPr>
            <w:tcW w:w="1553" w:type="dxa"/>
          </w:tcPr>
          <w:p w14:paraId="5DD05947" w14:textId="29B7A29A" w:rsidR="00845D4C" w:rsidRPr="00E15125" w:rsidRDefault="00410322" w:rsidP="00510290">
            <w:pPr>
              <w:pStyle w:val="Standard"/>
              <w:spacing w:line="480" w:lineRule="auto"/>
              <w:jc w:val="right"/>
              <w:rPr>
                <w:rFonts w:asciiTheme="majorHAnsi" w:eastAsia="Arial Unicode MS" w:hAnsiTheme="majorHAnsi" w:cstheme="majorHAnsi"/>
                <w:sz w:val="20"/>
                <w:szCs w:val="20"/>
              </w:rPr>
            </w:pPr>
            <w:r w:rsidRPr="00E15125">
              <w:rPr>
                <w:rFonts w:asciiTheme="majorHAnsi" w:eastAsia="Arial Unicode MS" w:hAnsiTheme="majorHAnsi" w:cstheme="majorHAnsi"/>
                <w:sz w:val="20"/>
                <w:szCs w:val="20"/>
              </w:rPr>
              <w:t>0,00</w:t>
            </w:r>
          </w:p>
        </w:tc>
      </w:tr>
    </w:tbl>
    <w:p w14:paraId="052F9F60" w14:textId="77777777" w:rsidR="00845D4C" w:rsidRPr="00E15125" w:rsidRDefault="00845D4C" w:rsidP="00845D4C">
      <w:pPr>
        <w:pStyle w:val="Standard"/>
        <w:spacing w:line="480" w:lineRule="auto"/>
        <w:rPr>
          <w:rFonts w:asciiTheme="majorHAnsi" w:eastAsia="Arial Unicode MS" w:hAnsiTheme="majorHAnsi" w:cstheme="majorHAnsi"/>
          <w:sz w:val="20"/>
          <w:szCs w:val="20"/>
          <w:u w:val="single"/>
        </w:rPr>
      </w:pPr>
    </w:p>
    <w:p w14:paraId="48802531" w14:textId="1B7A1D75" w:rsidR="00845D4C" w:rsidRPr="00E15125" w:rsidRDefault="00F97977" w:rsidP="00FE57C5">
      <w:pPr>
        <w:pStyle w:val="Standard"/>
        <w:spacing w:line="480" w:lineRule="auto"/>
        <w:rPr>
          <w:rFonts w:asciiTheme="majorHAnsi" w:eastAsia="MS Mincho" w:hAnsiTheme="majorHAnsi" w:cstheme="majorHAnsi"/>
          <w:b/>
          <w:bCs/>
          <w:sz w:val="20"/>
          <w:szCs w:val="20"/>
          <w:u w:val="single"/>
        </w:rPr>
      </w:pPr>
      <w:r w:rsidRPr="00E15125">
        <w:rPr>
          <w:rFonts w:asciiTheme="majorHAnsi" w:eastAsia="MS Mincho" w:hAnsiTheme="majorHAnsi" w:cstheme="majorHAnsi"/>
          <w:b/>
          <w:bCs/>
          <w:sz w:val="20"/>
          <w:szCs w:val="20"/>
          <w:u w:val="single"/>
        </w:rPr>
        <w:t xml:space="preserve">Uzasadnienie odrzucenia oferty: </w:t>
      </w:r>
    </w:p>
    <w:p w14:paraId="63BE12F3" w14:textId="77777777" w:rsidR="00510290" w:rsidRPr="00E15125" w:rsidRDefault="00F97977" w:rsidP="004015DA">
      <w:pPr>
        <w:pStyle w:val="Standard"/>
        <w:rPr>
          <w:rFonts w:asciiTheme="majorHAnsi" w:eastAsia="MS Mincho" w:hAnsiTheme="majorHAnsi" w:cstheme="majorHAnsi"/>
          <w:sz w:val="20"/>
          <w:szCs w:val="20"/>
        </w:rPr>
      </w:pPr>
      <w:r w:rsidRPr="00E15125">
        <w:rPr>
          <w:rFonts w:asciiTheme="majorHAnsi" w:eastAsia="MS Mincho" w:hAnsiTheme="majorHAnsi" w:cstheme="majorHAnsi"/>
          <w:sz w:val="20"/>
          <w:szCs w:val="20"/>
        </w:rPr>
        <w:t>Zamawiający odrzucił ofertę, jeżeli zawiera błędy w obliczeniu ceny. Ustawa nie definiuje przy tym pojęcia „błąd</w:t>
      </w:r>
    </w:p>
    <w:p w14:paraId="50D7903B" w14:textId="2DA666AF" w:rsidR="00F97977" w:rsidRPr="00E15125" w:rsidRDefault="00F97977" w:rsidP="004015DA">
      <w:pPr>
        <w:pStyle w:val="Standard"/>
        <w:rPr>
          <w:rFonts w:asciiTheme="majorHAnsi" w:eastAsia="MS Mincho" w:hAnsiTheme="majorHAnsi" w:cstheme="majorHAnsi"/>
          <w:sz w:val="20"/>
          <w:szCs w:val="20"/>
        </w:rPr>
      </w:pPr>
      <w:r w:rsidRPr="00E15125">
        <w:rPr>
          <w:rFonts w:asciiTheme="majorHAnsi" w:eastAsia="MS Mincho" w:hAnsiTheme="majorHAnsi" w:cstheme="majorHAnsi"/>
          <w:sz w:val="20"/>
          <w:szCs w:val="20"/>
        </w:rPr>
        <w:t xml:space="preserve"> w obliczeniu ceny”. Niemniej jednak przyjmuje się, iż błędem w obliczeniu ceny jest błąd polegający na przyjęciu niewłaściwych danych do jej obliczenia, wynikający np. z nieprawidłowego ustalenia stanu faktycznego</w:t>
      </w:r>
      <w:r w:rsidR="004015DA" w:rsidRPr="00E15125">
        <w:rPr>
          <w:rFonts w:asciiTheme="majorHAnsi" w:eastAsia="MS Mincho" w:hAnsiTheme="majorHAnsi" w:cstheme="majorHAnsi"/>
          <w:sz w:val="20"/>
          <w:szCs w:val="20"/>
        </w:rPr>
        <w:t>. Tak więc błąd w obliczeniu ceny oferty ma miejsce wówczas, gdy Wykonawca oblicza cenę oferty inaczej, niż zostało to ustalone przez Zamawiającego” – wyrok KIO z dnia 16.05.2014r. KIO 990/13.</w:t>
      </w:r>
    </w:p>
    <w:p w14:paraId="0AE51BA9" w14:textId="069056D9" w:rsidR="004015DA" w:rsidRPr="00E15125" w:rsidRDefault="004015DA" w:rsidP="004015DA">
      <w:pPr>
        <w:pStyle w:val="Standard"/>
        <w:rPr>
          <w:rFonts w:asciiTheme="majorHAnsi" w:eastAsia="MS Mincho" w:hAnsiTheme="majorHAnsi" w:cstheme="majorHAnsi"/>
          <w:sz w:val="20"/>
          <w:szCs w:val="20"/>
        </w:rPr>
      </w:pPr>
      <w:r w:rsidRPr="00E15125">
        <w:rPr>
          <w:rFonts w:asciiTheme="majorHAnsi" w:eastAsia="MS Mincho" w:hAnsiTheme="majorHAnsi" w:cstheme="majorHAnsi"/>
          <w:sz w:val="20"/>
          <w:szCs w:val="20"/>
        </w:rPr>
        <w:t xml:space="preserve">Analogicznie w wyroku z dnia 8 lipca 2019r., sygnatura akt KIO 1046/19, KIO 1065/19 skład orzekający uznał, że zgodnie z </w:t>
      </w:r>
      <w:r w:rsidRPr="00E15125">
        <w:rPr>
          <w:rFonts w:asciiTheme="majorHAnsi" w:eastAsia="MS Mincho" w:hAnsiTheme="majorHAnsi" w:cstheme="majorHAnsi"/>
          <w:sz w:val="20"/>
          <w:szCs w:val="20"/>
        </w:rPr>
        <w:lastRenderedPageBreak/>
        <w:t xml:space="preserve">literalnym brzmieniem art. 89 ust 1 pkt 6 </w:t>
      </w:r>
      <w:proofErr w:type="spellStart"/>
      <w:r w:rsidRPr="00E15125">
        <w:rPr>
          <w:rFonts w:asciiTheme="majorHAnsi" w:eastAsia="MS Mincho" w:hAnsiTheme="majorHAnsi" w:cstheme="majorHAnsi"/>
          <w:sz w:val="20"/>
          <w:szCs w:val="20"/>
        </w:rPr>
        <w:t>Pzp</w:t>
      </w:r>
      <w:proofErr w:type="spellEnd"/>
      <w:r w:rsidRPr="00E15125">
        <w:rPr>
          <w:rFonts w:asciiTheme="majorHAnsi" w:eastAsia="MS Mincho" w:hAnsiTheme="majorHAnsi" w:cstheme="majorHAnsi"/>
          <w:sz w:val="20"/>
          <w:szCs w:val="20"/>
        </w:rPr>
        <w:t xml:space="preserve"> (aktualnie art. 226 ust. 1 pkt. 10 ustawy </w:t>
      </w:r>
      <w:proofErr w:type="spellStart"/>
      <w:r w:rsidRPr="00E15125">
        <w:rPr>
          <w:rFonts w:asciiTheme="majorHAnsi" w:eastAsia="MS Mincho" w:hAnsiTheme="majorHAnsi" w:cstheme="majorHAnsi"/>
          <w:sz w:val="20"/>
          <w:szCs w:val="20"/>
        </w:rPr>
        <w:t>Pzp</w:t>
      </w:r>
      <w:proofErr w:type="spellEnd"/>
      <w:r w:rsidRPr="00E15125">
        <w:rPr>
          <w:rFonts w:asciiTheme="majorHAnsi" w:eastAsia="MS Mincho" w:hAnsiTheme="majorHAnsi" w:cstheme="majorHAnsi"/>
          <w:sz w:val="20"/>
          <w:szCs w:val="20"/>
        </w:rPr>
        <w:t xml:space="preserve">) </w:t>
      </w:r>
      <w:r w:rsidR="000F5D1D" w:rsidRPr="00E15125">
        <w:rPr>
          <w:rFonts w:asciiTheme="majorHAnsi" w:eastAsia="MS Mincho" w:hAnsiTheme="majorHAnsi" w:cstheme="majorHAnsi"/>
          <w:sz w:val="20"/>
          <w:szCs w:val="20"/>
        </w:rPr>
        <w:t>„</w:t>
      </w:r>
      <w:r w:rsidRPr="00E15125">
        <w:rPr>
          <w:rFonts w:asciiTheme="majorHAnsi" w:eastAsia="MS Mincho" w:hAnsiTheme="majorHAnsi" w:cstheme="majorHAnsi"/>
          <w:sz w:val="20"/>
          <w:szCs w:val="20"/>
        </w:rPr>
        <w:t xml:space="preserve">Zamawiający ma obowiązek odrzucenia </w:t>
      </w:r>
      <w:r w:rsidR="009C48C6" w:rsidRPr="00E15125">
        <w:rPr>
          <w:rFonts w:asciiTheme="majorHAnsi" w:eastAsia="MS Mincho" w:hAnsiTheme="majorHAnsi" w:cstheme="majorHAnsi"/>
          <w:sz w:val="20"/>
          <w:szCs w:val="20"/>
        </w:rPr>
        <w:t>oferty</w:t>
      </w:r>
      <w:r w:rsidR="00AF38F0" w:rsidRPr="00E15125">
        <w:rPr>
          <w:rFonts w:asciiTheme="majorHAnsi" w:eastAsia="MS Mincho" w:hAnsiTheme="majorHAnsi" w:cstheme="majorHAnsi"/>
          <w:sz w:val="20"/>
          <w:szCs w:val="20"/>
        </w:rPr>
        <w:t xml:space="preserve"> zawsze, jeżeli stwierdzi błędy w obliczeniu ceny lub kosztu. Krajowa Izba Odwoławcza uznała, że ustawodawca w żaden sposób nie określił, jakie błędy skutkują odrzuceniem oferty, nie dokonał w tym </w:t>
      </w:r>
      <w:r w:rsidR="000F5D1D" w:rsidRPr="00E15125">
        <w:rPr>
          <w:rFonts w:asciiTheme="majorHAnsi" w:eastAsia="MS Mincho" w:hAnsiTheme="majorHAnsi" w:cstheme="majorHAnsi"/>
          <w:sz w:val="20"/>
          <w:szCs w:val="20"/>
        </w:rPr>
        <w:t>zakresie żadnego  zróżnicowania. Przyjąć zatem należy, że chodzi tutaj o każdy błąd polegający na zastosowaniu nieprawidłowej stawki VAT, i to niezależnie od tego, czy Wykonawca zastosował stawkę niższą czy też wyższą od prawidłowej.”</w:t>
      </w:r>
    </w:p>
    <w:p w14:paraId="11CA04D3" w14:textId="3E21F273" w:rsidR="000F5D1D" w:rsidRPr="00E15125" w:rsidRDefault="000F5D1D" w:rsidP="004015DA">
      <w:pPr>
        <w:pStyle w:val="Standard"/>
        <w:rPr>
          <w:rFonts w:asciiTheme="majorHAnsi" w:eastAsia="MS Mincho" w:hAnsiTheme="majorHAnsi" w:cstheme="majorHAnsi"/>
          <w:sz w:val="20"/>
          <w:szCs w:val="20"/>
        </w:rPr>
      </w:pPr>
      <w:r w:rsidRPr="00E15125">
        <w:rPr>
          <w:rFonts w:asciiTheme="majorHAnsi" w:eastAsia="MS Mincho" w:hAnsiTheme="majorHAnsi" w:cstheme="majorHAnsi"/>
          <w:sz w:val="20"/>
          <w:szCs w:val="20"/>
        </w:rPr>
        <w:t xml:space="preserve">Takie stanowisko przyjęto również w wyroku KIO z dnia 11 stycznia 2021roku (KIO 3229/20), gdzie wskazano, iż „Za błąd w obliczeniu ceny należy uznać wadliwy dobór przez Wykonawcę elementów mających wpływ na właściwe obliczenie ceny oferty w tym przyjęcie i zastosowanie przez Wykonawcę wadliwej stawki VAT, w przypadku gdy Zamawiający nie określił wysokości stawki tego podatku w </w:t>
      </w:r>
      <w:r w:rsidR="00200955" w:rsidRPr="00E15125">
        <w:rPr>
          <w:rFonts w:asciiTheme="majorHAnsi" w:eastAsia="MS Mincho" w:hAnsiTheme="majorHAnsi" w:cstheme="majorHAnsi"/>
          <w:sz w:val="20"/>
          <w:szCs w:val="20"/>
        </w:rPr>
        <w:t>SIW</w:t>
      </w:r>
      <w:r w:rsidR="00363D6B" w:rsidRPr="00E15125">
        <w:rPr>
          <w:rFonts w:asciiTheme="majorHAnsi" w:eastAsia="MS Mincho" w:hAnsiTheme="majorHAnsi" w:cstheme="majorHAnsi"/>
          <w:sz w:val="20"/>
          <w:szCs w:val="20"/>
        </w:rPr>
        <w:t xml:space="preserve"> (zapytaniu ofertowym).</w:t>
      </w:r>
      <w:r w:rsidR="00200955" w:rsidRPr="00E15125">
        <w:rPr>
          <w:rFonts w:asciiTheme="majorHAnsi" w:eastAsia="MS Mincho" w:hAnsiTheme="majorHAnsi" w:cstheme="majorHAnsi"/>
          <w:sz w:val="20"/>
          <w:szCs w:val="20"/>
        </w:rPr>
        <w:t xml:space="preserve">Z, ale wymagał samodzielnego zastosowania przez Wykonawcę obowiązujących przepisów w tym zakresie. Ocenie Zamawiającego musi zatem także podlegać przyjęcie przez Wykonawcę prawidłowej stawki podatku VAT, ponieważ podatek ten jest bez wątpienia elementem cenotwórczym. Odmienny wniosek musiałby prowadzić do niedającej się zaaprobować zgody na nieprzewidziane ustawą ograniczenie uprawnień Zamawiającego, a w konsekwencji uniemożliwienie mu rzetelnego zbadania przesłanki uzasadniającej wykonanie przez Zamawiającego ustawowego obowiązku odrzucenia oferty. </w:t>
      </w:r>
    </w:p>
    <w:p w14:paraId="289D2CF7" w14:textId="23778396" w:rsidR="00200955" w:rsidRPr="00E15125" w:rsidRDefault="00200955" w:rsidP="004015DA">
      <w:pPr>
        <w:pStyle w:val="Standard"/>
        <w:rPr>
          <w:rFonts w:asciiTheme="majorHAnsi" w:eastAsia="MS Mincho" w:hAnsiTheme="majorHAnsi" w:cstheme="majorHAnsi"/>
          <w:sz w:val="20"/>
          <w:szCs w:val="20"/>
        </w:rPr>
      </w:pPr>
      <w:r w:rsidRPr="00E15125">
        <w:rPr>
          <w:rFonts w:asciiTheme="majorHAnsi" w:eastAsia="MS Mincho" w:hAnsiTheme="majorHAnsi" w:cstheme="majorHAnsi"/>
          <w:sz w:val="20"/>
          <w:szCs w:val="20"/>
        </w:rPr>
        <w:t xml:space="preserve">Wskazać należy także Wyrok Krajowej Izby Odwoławczej z 5 października 2020r. sygn.. akt KIO 2057/20. </w:t>
      </w:r>
    </w:p>
    <w:p w14:paraId="066FB381" w14:textId="7C9C4BC1" w:rsidR="00200955" w:rsidRPr="00E15125" w:rsidRDefault="00200955" w:rsidP="004015DA">
      <w:pPr>
        <w:pStyle w:val="Standard"/>
        <w:rPr>
          <w:rFonts w:asciiTheme="majorHAnsi" w:eastAsia="MS Mincho" w:hAnsiTheme="majorHAnsi" w:cstheme="majorHAnsi"/>
          <w:sz w:val="20"/>
          <w:szCs w:val="20"/>
        </w:rPr>
      </w:pPr>
      <w:r w:rsidRPr="00E15125">
        <w:rPr>
          <w:rFonts w:asciiTheme="majorHAnsi" w:eastAsia="MS Mincho" w:hAnsiTheme="majorHAnsi" w:cstheme="majorHAnsi"/>
          <w:sz w:val="20"/>
          <w:szCs w:val="20"/>
        </w:rPr>
        <w:t xml:space="preserve">„Instytucja zamawiająca ma obowiązek odrzucić ofertę, jeżeli zawiera ona błędy w obliczeniu ceny lub kosztu. Błąd występuje zawsze, gdy nie uwzględniono lub uwzględniono w sposób nieprawidłowy, w wyliczeniu ceny lub kosztu, wszystkich elementów ceno lub </w:t>
      </w:r>
      <w:proofErr w:type="spellStart"/>
      <w:r w:rsidRPr="00E15125">
        <w:rPr>
          <w:rFonts w:asciiTheme="majorHAnsi" w:eastAsia="MS Mincho" w:hAnsiTheme="majorHAnsi" w:cstheme="majorHAnsi"/>
          <w:sz w:val="20"/>
          <w:szCs w:val="20"/>
        </w:rPr>
        <w:t>kosztotwórczych</w:t>
      </w:r>
      <w:proofErr w:type="spellEnd"/>
      <w:r w:rsidRPr="00E15125">
        <w:rPr>
          <w:rFonts w:asciiTheme="majorHAnsi" w:eastAsia="MS Mincho" w:hAnsiTheme="majorHAnsi" w:cstheme="majorHAnsi"/>
          <w:sz w:val="20"/>
          <w:szCs w:val="20"/>
        </w:rPr>
        <w:t xml:space="preserve">, wynikających z przepisów prawa oraz cech przedmiotu zamówienia, jego zakresu lub warunków realizacji. Do popełnienia błędu w obliczeniu ceny lub kosztu może dojść poprzez błędne rozpoznanie stanu prawnego lub faktycznego przez Wykonawcę i </w:t>
      </w:r>
      <w:r w:rsidR="00E36E44" w:rsidRPr="00E15125">
        <w:rPr>
          <w:rFonts w:asciiTheme="majorHAnsi" w:eastAsia="MS Mincho" w:hAnsiTheme="majorHAnsi" w:cstheme="majorHAnsi"/>
          <w:sz w:val="20"/>
          <w:szCs w:val="20"/>
        </w:rPr>
        <w:t>przyjęcie nieprawidłowych podstaw dokonywanej kalkulacji, które nie znajdują uzasadnienia w ustawie lub w SIWZ</w:t>
      </w:r>
      <w:r w:rsidR="00363D6B" w:rsidRPr="00E15125">
        <w:rPr>
          <w:rFonts w:asciiTheme="majorHAnsi" w:eastAsia="MS Mincho" w:hAnsiTheme="majorHAnsi" w:cstheme="majorHAnsi"/>
          <w:sz w:val="20"/>
          <w:szCs w:val="20"/>
        </w:rPr>
        <w:t xml:space="preserve"> (zapytaniu ofertowym)</w:t>
      </w:r>
      <w:r w:rsidR="00E36E44" w:rsidRPr="00E15125">
        <w:rPr>
          <w:rFonts w:asciiTheme="majorHAnsi" w:eastAsia="MS Mincho" w:hAnsiTheme="majorHAnsi" w:cstheme="majorHAnsi"/>
          <w:sz w:val="20"/>
          <w:szCs w:val="20"/>
        </w:rPr>
        <w:t>.</w:t>
      </w:r>
    </w:p>
    <w:p w14:paraId="35C43597" w14:textId="77777777" w:rsidR="00FE57C5" w:rsidRPr="00E15125" w:rsidRDefault="00FE57C5" w:rsidP="00845D4C">
      <w:pPr>
        <w:pStyle w:val="Standard"/>
        <w:spacing w:line="480" w:lineRule="auto"/>
        <w:jc w:val="right"/>
        <w:rPr>
          <w:rFonts w:asciiTheme="majorHAnsi" w:eastAsia="MS Mincho" w:hAnsiTheme="majorHAnsi" w:cstheme="majorHAnsi"/>
          <w:b/>
          <w:bCs/>
          <w:sz w:val="20"/>
          <w:szCs w:val="20"/>
          <w:u w:val="single"/>
        </w:rPr>
      </w:pPr>
    </w:p>
    <w:p w14:paraId="03DCBEEE" w14:textId="77777777" w:rsidR="00FE57C5" w:rsidRPr="00E15125" w:rsidRDefault="00FE57C5" w:rsidP="00E36E44">
      <w:pPr>
        <w:pStyle w:val="Standard"/>
        <w:spacing w:line="480" w:lineRule="auto"/>
        <w:rPr>
          <w:rFonts w:asciiTheme="majorHAnsi" w:eastAsia="MS Mincho" w:hAnsiTheme="majorHAnsi" w:cstheme="majorHAnsi"/>
          <w:b/>
          <w:bCs/>
          <w:sz w:val="20"/>
          <w:szCs w:val="20"/>
          <w:u w:val="single"/>
        </w:rPr>
      </w:pPr>
    </w:p>
    <w:p w14:paraId="69DD5A3D" w14:textId="77777777" w:rsidR="00FE57C5" w:rsidRPr="00E15125" w:rsidRDefault="00FE57C5" w:rsidP="00845D4C">
      <w:pPr>
        <w:pStyle w:val="Standard"/>
        <w:spacing w:line="480" w:lineRule="auto"/>
        <w:jc w:val="right"/>
        <w:rPr>
          <w:rFonts w:asciiTheme="majorHAnsi" w:eastAsia="MS Mincho" w:hAnsiTheme="majorHAnsi" w:cstheme="majorHAnsi"/>
          <w:b/>
          <w:bCs/>
          <w:sz w:val="20"/>
          <w:szCs w:val="20"/>
          <w:u w:val="single"/>
        </w:rPr>
      </w:pPr>
    </w:p>
    <w:p w14:paraId="771F97B2" w14:textId="77777777" w:rsidR="00845D4C" w:rsidRPr="00E15125" w:rsidRDefault="00845D4C" w:rsidP="00845D4C">
      <w:pPr>
        <w:pStyle w:val="Standard"/>
        <w:spacing w:line="480" w:lineRule="auto"/>
        <w:jc w:val="right"/>
        <w:rPr>
          <w:rFonts w:asciiTheme="majorHAnsi" w:eastAsia="Arial Unicode MS" w:hAnsiTheme="majorHAnsi" w:cstheme="majorHAnsi"/>
          <w:b/>
          <w:sz w:val="20"/>
          <w:szCs w:val="20"/>
        </w:rPr>
      </w:pPr>
      <w:r w:rsidRPr="00E15125">
        <w:rPr>
          <w:rFonts w:asciiTheme="majorHAnsi" w:eastAsia="Arial Unicode MS" w:hAnsiTheme="majorHAnsi" w:cstheme="majorHAnsi"/>
          <w:b/>
          <w:sz w:val="20"/>
          <w:szCs w:val="20"/>
        </w:rPr>
        <w:t>Dyrektor DPS „OPOKA”</w:t>
      </w:r>
    </w:p>
    <w:p w14:paraId="120B9222" w14:textId="420041FC" w:rsidR="00845D4C" w:rsidRPr="00E15125" w:rsidRDefault="00E36E44" w:rsidP="00845D4C">
      <w:pPr>
        <w:pStyle w:val="Standard"/>
        <w:spacing w:line="480" w:lineRule="auto"/>
        <w:jc w:val="right"/>
        <w:rPr>
          <w:rFonts w:asciiTheme="majorHAnsi" w:eastAsia="Arial Unicode MS" w:hAnsiTheme="majorHAnsi" w:cstheme="majorHAnsi"/>
          <w:b/>
          <w:sz w:val="20"/>
          <w:szCs w:val="20"/>
        </w:rPr>
      </w:pPr>
      <w:r w:rsidRPr="00E15125">
        <w:rPr>
          <w:rFonts w:asciiTheme="majorHAnsi" w:eastAsia="Arial Unicode MS" w:hAnsiTheme="majorHAnsi" w:cstheme="majorHAnsi"/>
          <w:b/>
          <w:sz w:val="20"/>
          <w:szCs w:val="20"/>
        </w:rPr>
        <w:t xml:space="preserve">mgr </w:t>
      </w:r>
      <w:r w:rsidR="00845D4C" w:rsidRPr="00E15125">
        <w:rPr>
          <w:rFonts w:asciiTheme="majorHAnsi" w:eastAsia="Arial Unicode MS" w:hAnsiTheme="majorHAnsi" w:cstheme="majorHAnsi"/>
          <w:b/>
          <w:sz w:val="20"/>
          <w:szCs w:val="20"/>
        </w:rPr>
        <w:t>Jolanta Pszczółka</w:t>
      </w:r>
    </w:p>
    <w:p w14:paraId="3E5FD49A" w14:textId="77777777" w:rsidR="0072388B" w:rsidRPr="00E15125" w:rsidRDefault="0072388B">
      <w:pPr>
        <w:rPr>
          <w:rFonts w:asciiTheme="majorHAnsi" w:hAnsiTheme="majorHAnsi" w:cstheme="majorHAnsi"/>
          <w:sz w:val="20"/>
          <w:szCs w:val="20"/>
        </w:rPr>
      </w:pPr>
    </w:p>
    <w:sectPr w:rsidR="0072388B" w:rsidRPr="00E15125" w:rsidSect="00845D4C">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4157"/>
    <w:multiLevelType w:val="hybridMultilevel"/>
    <w:tmpl w:val="B6101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631FD3"/>
    <w:multiLevelType w:val="multilevel"/>
    <w:tmpl w:val="494EC6B0"/>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791B43C6"/>
    <w:multiLevelType w:val="hybridMultilevel"/>
    <w:tmpl w:val="DB168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944799">
    <w:abstractNumId w:val="1"/>
  </w:num>
  <w:num w:numId="2" w16cid:durableId="511914966">
    <w:abstractNumId w:val="0"/>
  </w:num>
  <w:num w:numId="3" w16cid:durableId="188379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4C"/>
    <w:rsid w:val="000364C0"/>
    <w:rsid w:val="000F5D1D"/>
    <w:rsid w:val="00200955"/>
    <w:rsid w:val="00363D6B"/>
    <w:rsid w:val="004015DA"/>
    <w:rsid w:val="00410322"/>
    <w:rsid w:val="0045135C"/>
    <w:rsid w:val="00510290"/>
    <w:rsid w:val="005603C9"/>
    <w:rsid w:val="006063F1"/>
    <w:rsid w:val="0072388B"/>
    <w:rsid w:val="00756EE9"/>
    <w:rsid w:val="00845D4C"/>
    <w:rsid w:val="0091615F"/>
    <w:rsid w:val="009C48C6"/>
    <w:rsid w:val="00AF38F0"/>
    <w:rsid w:val="00CC2CB0"/>
    <w:rsid w:val="00D06BEB"/>
    <w:rsid w:val="00DF3BCF"/>
    <w:rsid w:val="00E15125"/>
    <w:rsid w:val="00E36E44"/>
    <w:rsid w:val="00F97977"/>
    <w:rsid w:val="00FE5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AD14"/>
  <w15:chartTrackingRefBased/>
  <w15:docId w15:val="{6459B281-F2A2-4B29-8CD9-F35C3363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5D4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styleId="Nagwek1">
    <w:name w:val="heading 1"/>
    <w:basedOn w:val="Normalny"/>
    <w:next w:val="Normalny"/>
    <w:link w:val="Nagwek1Znak"/>
    <w:uiPriority w:val="9"/>
    <w:qFormat/>
    <w:rsid w:val="00845D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45D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45D4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45D4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45D4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45D4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45D4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45D4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45D4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45D4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45D4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45D4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45D4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45D4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45D4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45D4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45D4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45D4C"/>
    <w:rPr>
      <w:rFonts w:eastAsiaTheme="majorEastAsia" w:cstheme="majorBidi"/>
      <w:color w:val="272727" w:themeColor="text1" w:themeTint="D8"/>
    </w:rPr>
  </w:style>
  <w:style w:type="paragraph" w:styleId="Tytu">
    <w:name w:val="Title"/>
    <w:basedOn w:val="Normalny"/>
    <w:next w:val="Normalny"/>
    <w:link w:val="TytuZnak"/>
    <w:uiPriority w:val="10"/>
    <w:qFormat/>
    <w:rsid w:val="00845D4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45D4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45D4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45D4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45D4C"/>
    <w:pPr>
      <w:spacing w:before="160"/>
      <w:jc w:val="center"/>
    </w:pPr>
    <w:rPr>
      <w:i/>
      <w:iCs/>
      <w:color w:val="404040" w:themeColor="text1" w:themeTint="BF"/>
    </w:rPr>
  </w:style>
  <w:style w:type="character" w:customStyle="1" w:styleId="CytatZnak">
    <w:name w:val="Cytat Znak"/>
    <w:basedOn w:val="Domylnaczcionkaakapitu"/>
    <w:link w:val="Cytat"/>
    <w:uiPriority w:val="29"/>
    <w:rsid w:val="00845D4C"/>
    <w:rPr>
      <w:i/>
      <w:iCs/>
      <w:color w:val="404040" w:themeColor="text1" w:themeTint="BF"/>
    </w:rPr>
  </w:style>
  <w:style w:type="paragraph" w:styleId="Akapitzlist">
    <w:name w:val="List Paragraph"/>
    <w:basedOn w:val="Normalny"/>
    <w:uiPriority w:val="34"/>
    <w:qFormat/>
    <w:rsid w:val="00845D4C"/>
    <w:pPr>
      <w:ind w:left="720"/>
      <w:contextualSpacing/>
    </w:pPr>
  </w:style>
  <w:style w:type="character" w:styleId="Wyrnienieintensywne">
    <w:name w:val="Intense Emphasis"/>
    <w:basedOn w:val="Domylnaczcionkaakapitu"/>
    <w:uiPriority w:val="21"/>
    <w:qFormat/>
    <w:rsid w:val="00845D4C"/>
    <w:rPr>
      <w:i/>
      <w:iCs/>
      <w:color w:val="2F5496" w:themeColor="accent1" w:themeShade="BF"/>
    </w:rPr>
  </w:style>
  <w:style w:type="paragraph" w:styleId="Cytatintensywny">
    <w:name w:val="Intense Quote"/>
    <w:basedOn w:val="Normalny"/>
    <w:next w:val="Normalny"/>
    <w:link w:val="CytatintensywnyZnak"/>
    <w:uiPriority w:val="30"/>
    <w:qFormat/>
    <w:rsid w:val="00845D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45D4C"/>
    <w:rPr>
      <w:i/>
      <w:iCs/>
      <w:color w:val="2F5496" w:themeColor="accent1" w:themeShade="BF"/>
    </w:rPr>
  </w:style>
  <w:style w:type="character" w:styleId="Odwoanieintensywne">
    <w:name w:val="Intense Reference"/>
    <w:basedOn w:val="Domylnaczcionkaakapitu"/>
    <w:uiPriority w:val="32"/>
    <w:qFormat/>
    <w:rsid w:val="00845D4C"/>
    <w:rPr>
      <w:b/>
      <w:bCs/>
      <w:smallCaps/>
      <w:color w:val="2F5496" w:themeColor="accent1" w:themeShade="BF"/>
      <w:spacing w:val="5"/>
    </w:rPr>
  </w:style>
  <w:style w:type="paragraph" w:customStyle="1" w:styleId="Standard">
    <w:name w:val="Standard"/>
    <w:rsid w:val="00845D4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customStyle="1" w:styleId="TableContents">
    <w:name w:val="Table Contents"/>
    <w:basedOn w:val="Standard"/>
    <w:rsid w:val="00845D4C"/>
    <w:pPr>
      <w:suppressLineNumbers/>
    </w:pPr>
  </w:style>
  <w:style w:type="table" w:styleId="Tabela-Siatka">
    <w:name w:val="Table Grid"/>
    <w:basedOn w:val="Standardowy"/>
    <w:uiPriority w:val="39"/>
    <w:rsid w:val="00845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2T11:33:37.056"/>
    </inkml:context>
    <inkml:brush xml:id="br0">
      <inkml:brushProperty name="width" value="0.035" units="cm"/>
      <inkml:brushProperty name="height" value="0.03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2T11:33:33.082"/>
    </inkml:context>
    <inkml:brush xml:id="br0">
      <inkml:brushProperty name="width" value="0.035" units="cm"/>
      <inkml:brushProperty name="height" value="0.035" units="cm"/>
    </inkml:brush>
  </inkml:definitions>
  <inkml:trace contextRef="#ctx0" brushRef="#br0">0 5 24575,'4'-4'0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588</Words>
  <Characters>3533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Tomecka</dc:creator>
  <cp:keywords/>
  <dc:description/>
  <cp:lastModifiedBy>Anna Tomecka</cp:lastModifiedBy>
  <cp:revision>9</cp:revision>
  <cp:lastPrinted>2025-05-13T13:57:00Z</cp:lastPrinted>
  <dcterms:created xsi:type="dcterms:W3CDTF">2025-05-12T11:26:00Z</dcterms:created>
  <dcterms:modified xsi:type="dcterms:W3CDTF">2025-05-16T08:54:00Z</dcterms:modified>
</cp:coreProperties>
</file>